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overflowPunct/>
        <w:topLinePunct w:val="0"/>
        <w:bidi w:val="0"/>
        <w:adjustRightInd w:val="0"/>
        <w:snapToGrid w:val="0"/>
        <w:spacing w:before="40" w:line="360" w:lineRule="auto"/>
        <w:jc w:val="center"/>
        <w:rPr>
          <w:rFonts w:cs="宋体" w:asciiTheme="minorEastAsia" w:hAnsiTheme="minorEastAsia"/>
          <w:b/>
          <w:sz w:val="32"/>
          <w:szCs w:val="32"/>
        </w:rPr>
      </w:pPr>
      <w:r>
        <w:rPr>
          <w:rFonts w:cs="宋体" w:asciiTheme="minorEastAsia" w:hAnsiTheme="minorEastAsia"/>
          <w:b/>
          <w:color w:val="222222"/>
          <w:spacing w:val="8"/>
          <w:sz w:val="32"/>
          <w:szCs w:val="32"/>
        </w:rPr>
        <w:t>采购需求表</w:t>
      </w:r>
    </w:p>
    <w:p>
      <w:pPr>
        <w:keepNext w:val="0"/>
        <w:keepLines w:val="0"/>
        <w:pageBreakBefore w:val="0"/>
        <w:widowControl/>
        <w:overflowPunct/>
        <w:topLinePunct w:val="0"/>
        <w:bidi w:val="0"/>
        <w:adjustRightInd w:val="0"/>
        <w:snapToGrid w:val="0"/>
        <w:spacing w:line="360" w:lineRule="auto"/>
        <w:rPr>
          <w:rFonts w:hint="eastAsia"/>
          <w:b/>
        </w:rPr>
      </w:pPr>
    </w:p>
    <w:p>
      <w:pPr>
        <w:keepNext w:val="0"/>
        <w:keepLines w:val="0"/>
        <w:pageBreakBefore w:val="0"/>
        <w:widowControl/>
        <w:overflowPunct/>
        <w:topLinePunct w:val="0"/>
        <w:bidi w:val="0"/>
        <w:adjustRightInd w:val="0"/>
        <w:snapToGrid w:val="0"/>
        <w:spacing w:line="360" w:lineRule="auto"/>
        <w:rPr>
          <w:b/>
        </w:rPr>
      </w:pPr>
      <w:r>
        <w:rPr>
          <w:rFonts w:hint="eastAsia"/>
          <w:b/>
        </w:rPr>
        <w:t>一、项目名称：</w:t>
      </w:r>
      <w:r>
        <w:rPr>
          <w:rFonts w:hint="eastAsia"/>
          <w:b/>
          <w:lang w:val="en-US" w:eastAsia="zh-CN"/>
        </w:rPr>
        <w:t xml:space="preserve"> </w:t>
      </w:r>
      <w:r>
        <w:rPr>
          <w:rFonts w:hint="eastAsia" w:ascii="宋体" w:hAnsi="宋体" w:eastAsia="宋体" w:cs="宋体"/>
          <w:kern w:val="2"/>
          <w:sz w:val="24"/>
          <w:szCs w:val="24"/>
          <w:lang w:val="en-US" w:eastAsia="zh-CN" w:bidi="ar-SA"/>
        </w:rPr>
        <w:t>医院双重预防机制、应急预案及双重预防机制信息化服务</w:t>
      </w:r>
    </w:p>
    <w:p>
      <w:pPr>
        <w:keepNext w:val="0"/>
        <w:keepLines w:val="0"/>
        <w:pageBreakBefore w:val="0"/>
        <w:widowControl/>
        <w:overflowPunct/>
        <w:topLinePunct w:val="0"/>
        <w:bidi w:val="0"/>
        <w:adjustRightInd w:val="0"/>
        <w:snapToGrid w:val="0"/>
        <w:spacing w:line="360" w:lineRule="auto"/>
        <w:rPr>
          <w:rFonts w:hint="eastAsia"/>
          <w:b/>
          <w:lang w:val="en-US" w:eastAsia="zh-CN"/>
        </w:rPr>
      </w:pPr>
      <w:r>
        <w:rPr>
          <w:rFonts w:hint="eastAsia"/>
          <w:b/>
        </w:rPr>
        <w:t>二</w:t>
      </w:r>
      <w:r>
        <w:rPr>
          <w:rFonts w:hint="eastAsia"/>
          <w:b/>
          <w:lang w:eastAsia="zh-CN"/>
        </w:rPr>
        <w:t>、项目编号：QY-FSEY-2025009</w:t>
      </w:r>
      <w:r>
        <w:rPr>
          <w:rFonts w:hint="eastAsia"/>
          <w:b/>
          <w:lang w:val="en-US" w:eastAsia="zh-CN"/>
        </w:rPr>
        <w:t xml:space="preserve">            </w:t>
      </w:r>
    </w:p>
    <w:p>
      <w:pPr>
        <w:keepNext w:val="0"/>
        <w:keepLines w:val="0"/>
        <w:pageBreakBefore w:val="0"/>
        <w:widowControl/>
        <w:overflowPunct/>
        <w:topLinePunct w:val="0"/>
        <w:bidi w:val="0"/>
        <w:adjustRightInd w:val="0"/>
        <w:snapToGrid w:val="0"/>
        <w:spacing w:line="360" w:lineRule="auto"/>
        <w:rPr>
          <w:rFonts w:hint="eastAsia"/>
          <w:b/>
          <w:lang w:val="en-US" w:eastAsia="zh-CN"/>
        </w:rPr>
      </w:pPr>
      <w:r>
        <w:rPr>
          <w:rFonts w:hint="eastAsia"/>
          <w:b/>
          <w:lang w:val="en-US" w:eastAsia="zh-CN"/>
        </w:rPr>
        <w:t>三、 预算金额：49500.00元</w:t>
      </w:r>
    </w:p>
    <w:p>
      <w:pPr>
        <w:keepNext w:val="0"/>
        <w:keepLines w:val="0"/>
        <w:pageBreakBefore w:val="0"/>
        <w:widowControl/>
        <w:overflowPunct/>
        <w:topLinePunct w:val="0"/>
        <w:bidi w:val="0"/>
        <w:adjustRightInd w:val="0"/>
        <w:snapToGrid w:val="0"/>
        <w:spacing w:line="360" w:lineRule="auto"/>
        <w:rPr>
          <w:b/>
        </w:rPr>
      </w:pPr>
      <w:r>
        <w:rPr>
          <w:rFonts w:hint="eastAsia"/>
          <w:b/>
          <w:lang w:val="en-US" w:eastAsia="zh-CN"/>
        </w:rPr>
        <w:t>四、</w:t>
      </w:r>
      <w:r>
        <w:rPr>
          <w:rFonts w:hint="eastAsia"/>
          <w:b/>
          <w:lang w:eastAsia="zh-CN"/>
        </w:rPr>
        <w:t>服务期限</w:t>
      </w:r>
      <w:r>
        <w:rPr>
          <w:rFonts w:hint="eastAsia"/>
          <w:b/>
        </w:rPr>
        <w:t>：</w:t>
      </w:r>
      <w:r>
        <w:rPr>
          <w:rFonts w:hint="eastAsia"/>
          <w:b/>
          <w:lang w:eastAsia="zh-CN"/>
        </w:rPr>
        <w:t>合同签定后</w:t>
      </w:r>
      <w:r>
        <w:rPr>
          <w:rFonts w:hint="eastAsia"/>
          <w:b/>
          <w:lang w:val="en-US" w:eastAsia="zh-CN"/>
        </w:rPr>
        <w:t>1年</w:t>
      </w:r>
    </w:p>
    <w:p>
      <w:pPr>
        <w:keepNext w:val="0"/>
        <w:keepLines w:val="0"/>
        <w:pageBreakBefore w:val="0"/>
        <w:widowControl/>
        <w:overflowPunct/>
        <w:topLinePunct w:val="0"/>
        <w:bidi w:val="0"/>
        <w:adjustRightInd w:val="0"/>
        <w:snapToGrid w:val="0"/>
        <w:spacing w:line="360" w:lineRule="auto"/>
        <w:rPr>
          <w:b/>
        </w:rPr>
      </w:pPr>
      <w:r>
        <w:rPr>
          <w:rFonts w:hint="eastAsia"/>
          <w:b/>
          <w:lang w:eastAsia="zh-CN"/>
        </w:rPr>
        <w:t>五、</w:t>
      </w:r>
      <w:r>
        <w:rPr>
          <w:b/>
        </w:rPr>
        <w:t>是否专门面向中小企业采购</w:t>
      </w:r>
      <w:r>
        <w:rPr>
          <w:rFonts w:hint="eastAsia"/>
          <w:b/>
        </w:rPr>
        <w:t>：</w:t>
      </w:r>
      <w:r>
        <w:rPr>
          <w:rFonts w:hint="eastAsia"/>
          <w:b/>
          <w:lang w:eastAsia="zh-CN"/>
        </w:rPr>
        <w:t>否</w:t>
      </w:r>
    </w:p>
    <w:p>
      <w:pPr>
        <w:keepNext w:val="0"/>
        <w:keepLines w:val="0"/>
        <w:pageBreakBefore w:val="0"/>
        <w:widowControl/>
        <w:overflowPunct/>
        <w:topLinePunct w:val="0"/>
        <w:bidi w:val="0"/>
        <w:adjustRightInd w:val="0"/>
        <w:snapToGrid w:val="0"/>
        <w:spacing w:line="360" w:lineRule="auto"/>
        <w:rPr>
          <w:rFonts w:hint="eastAsia"/>
          <w:b/>
          <w:lang w:val="en-US" w:eastAsia="zh-CN"/>
        </w:rPr>
      </w:pPr>
      <w:r>
        <w:rPr>
          <w:rFonts w:hint="eastAsia"/>
          <w:b/>
          <w:lang w:eastAsia="zh-CN"/>
        </w:rPr>
        <w:t>六</w:t>
      </w:r>
      <w:r>
        <w:rPr>
          <w:rFonts w:hint="eastAsia"/>
          <w:b/>
        </w:rPr>
        <w:t>、标的提供时间：</w:t>
      </w:r>
      <w:r>
        <w:rPr>
          <w:rFonts w:hint="eastAsia"/>
          <w:b/>
          <w:lang w:val="en-US" w:eastAsia="zh-CN"/>
        </w:rPr>
        <w:t>合同签订后30个日历日内提供此项服务</w:t>
      </w:r>
    </w:p>
    <w:p>
      <w:pPr>
        <w:keepNext w:val="0"/>
        <w:keepLines w:val="0"/>
        <w:pageBreakBefore w:val="0"/>
        <w:widowControl/>
        <w:overflowPunct/>
        <w:topLinePunct w:val="0"/>
        <w:bidi w:val="0"/>
        <w:adjustRightInd w:val="0"/>
        <w:snapToGrid w:val="0"/>
        <w:spacing w:line="360" w:lineRule="auto"/>
        <w:rPr>
          <w:b/>
        </w:rPr>
      </w:pPr>
      <w:r>
        <w:rPr>
          <w:rFonts w:hint="eastAsia"/>
          <w:b/>
          <w:lang w:eastAsia="zh-CN"/>
        </w:rPr>
        <w:t>七</w:t>
      </w:r>
      <w:r>
        <w:rPr>
          <w:rFonts w:hint="eastAsia"/>
          <w:b/>
        </w:rPr>
        <w:t>、标的提供地点：</w:t>
      </w:r>
      <w:r>
        <w:rPr>
          <w:rFonts w:hint="eastAsia"/>
          <w:b/>
          <w:lang w:eastAsia="zh-CN"/>
        </w:rPr>
        <w:t>齐齐哈尔医学院附属第二医院</w:t>
      </w:r>
    </w:p>
    <w:p>
      <w:pPr>
        <w:keepNext w:val="0"/>
        <w:keepLines w:val="0"/>
        <w:pageBreakBefore w:val="0"/>
        <w:widowControl/>
        <w:overflowPunct/>
        <w:topLinePunct w:val="0"/>
        <w:bidi w:val="0"/>
        <w:adjustRightInd w:val="0"/>
        <w:snapToGrid w:val="0"/>
        <w:spacing w:line="360" w:lineRule="auto"/>
        <w:rPr>
          <w:b/>
        </w:rPr>
      </w:pPr>
      <w:r>
        <w:rPr>
          <w:rFonts w:hint="eastAsia"/>
          <w:b/>
          <w:lang w:eastAsia="zh-CN"/>
        </w:rPr>
        <w:t>八</w:t>
      </w:r>
      <w:r>
        <w:rPr>
          <w:rFonts w:hint="eastAsia"/>
          <w:b/>
        </w:rPr>
        <w:t>、支付期次设置：</w:t>
      </w:r>
    </w:p>
    <w:p>
      <w:pPr>
        <w:keepNext w:val="0"/>
        <w:keepLines w:val="0"/>
        <w:pageBreakBefore w:val="0"/>
        <w:widowControl/>
        <w:overflowPunct/>
        <w:topLinePunct w:val="0"/>
        <w:bidi w:val="0"/>
        <w:adjustRightInd w:val="0"/>
        <w:snapToGrid w:val="0"/>
        <w:spacing w:line="360" w:lineRule="auto"/>
        <w:rPr>
          <w:b/>
        </w:rPr>
      </w:pPr>
    </w:p>
    <w:tbl>
      <w:tblPr>
        <w:tblStyle w:val="9"/>
        <w:tblW w:w="8080" w:type="dxa"/>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36"/>
        <w:gridCol w:w="2565"/>
        <w:gridCol w:w="427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45" w:hRule="atLeast"/>
        </w:trPr>
        <w:tc>
          <w:tcPr>
            <w:tcW w:w="1236"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支付期次</w:t>
            </w:r>
          </w:p>
        </w:tc>
        <w:tc>
          <w:tcPr>
            <w:tcW w:w="2565" w:type="dxa"/>
            <w:vAlign w:val="center"/>
          </w:tcPr>
          <w:p>
            <w:pPr>
              <w:keepNext w:val="0"/>
              <w:keepLines w:val="0"/>
              <w:pageBreakBefore w:val="0"/>
              <w:widowControl/>
              <w:overflowPunct/>
              <w:topLinePunct w:val="0"/>
              <w:bidi w:val="0"/>
              <w:adjustRightInd w:val="0"/>
              <w:snapToGrid w:val="0"/>
              <w:spacing w:line="360" w:lineRule="auto"/>
              <w:jc w:val="center"/>
              <w:rPr>
                <w:rFonts w:hint="eastAsia" w:eastAsiaTheme="minorEastAsia"/>
                <w:lang w:eastAsia="zh-CN"/>
              </w:rPr>
            </w:pPr>
            <w:r>
              <w:rPr>
                <w:rFonts w:hint="eastAsia"/>
              </w:rPr>
              <w:t>支付比例</w:t>
            </w:r>
            <w:r>
              <w:rPr>
                <w:rFonts w:hint="eastAsia"/>
                <w:lang w:eastAsia="zh-CN"/>
              </w:rPr>
              <w:t>％</w:t>
            </w:r>
          </w:p>
        </w:tc>
        <w:tc>
          <w:tcPr>
            <w:tcW w:w="4279"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支付说明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1" w:hRule="atLeast"/>
        </w:trPr>
        <w:tc>
          <w:tcPr>
            <w:tcW w:w="1236"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1</w:t>
            </w:r>
          </w:p>
        </w:tc>
        <w:tc>
          <w:tcPr>
            <w:tcW w:w="2565" w:type="dxa"/>
            <w:vAlign w:val="center"/>
          </w:tcPr>
          <w:p>
            <w:pPr>
              <w:keepNext w:val="0"/>
              <w:keepLines w:val="0"/>
              <w:pageBreakBefore w:val="0"/>
              <w:widowControl/>
              <w:overflowPunct/>
              <w:topLinePunct w:val="0"/>
              <w:bidi w:val="0"/>
              <w:adjustRightInd w:val="0"/>
              <w:snapToGrid w:val="0"/>
              <w:spacing w:line="360" w:lineRule="auto"/>
              <w:jc w:val="center"/>
              <w:rPr>
                <w:rFonts w:hint="default" w:eastAsiaTheme="minorEastAsia"/>
                <w:lang w:val="en-US" w:eastAsia="zh-CN"/>
              </w:rPr>
            </w:pPr>
            <w:r>
              <w:rPr>
                <w:rFonts w:hint="eastAsia"/>
                <w:lang w:val="en-US" w:eastAsia="zh-CN"/>
              </w:rPr>
              <w:t>100%</w:t>
            </w:r>
          </w:p>
        </w:tc>
        <w:tc>
          <w:tcPr>
            <w:tcW w:w="4279" w:type="dxa"/>
            <w:vAlign w:val="center"/>
          </w:tcPr>
          <w:p>
            <w:pPr>
              <w:keepNext w:val="0"/>
              <w:keepLines w:val="0"/>
              <w:pageBreakBefore w:val="0"/>
              <w:widowControl/>
              <w:numPr>
                <w:ilvl w:val="0"/>
                <w:numId w:val="0"/>
              </w:numPr>
              <w:overflowPunct/>
              <w:topLinePunct w:val="0"/>
              <w:bidi w:val="0"/>
              <w:adjustRightInd w:val="0"/>
              <w:snapToGrid w:val="0"/>
              <w:spacing w:line="360" w:lineRule="auto"/>
              <w:jc w:val="left"/>
              <w:rPr>
                <w:rFonts w:hint="eastAsia"/>
                <w:lang w:val="en-US" w:eastAsia="zh-CN"/>
              </w:rPr>
            </w:pPr>
            <w:r>
              <w:rPr>
                <w:rFonts w:hint="eastAsia"/>
                <w:lang w:val="en-US" w:eastAsia="zh-CN"/>
              </w:rPr>
              <w:t>甲方验收合格并收到发票后10个工作日内将资金支付到合同约定的乙方账户</w:t>
            </w:r>
          </w:p>
        </w:tc>
      </w:tr>
    </w:tbl>
    <w:p>
      <w:pPr>
        <w:keepNext w:val="0"/>
        <w:keepLines w:val="0"/>
        <w:pageBreakBefore w:val="0"/>
        <w:widowControl/>
        <w:overflowPunct/>
        <w:topLinePunct w:val="0"/>
        <w:bidi w:val="0"/>
        <w:adjustRightInd w:val="0"/>
        <w:snapToGrid w:val="0"/>
        <w:spacing w:line="360" w:lineRule="auto"/>
      </w:pPr>
    </w:p>
    <w:p>
      <w:pPr>
        <w:keepNext w:val="0"/>
        <w:keepLines w:val="0"/>
        <w:pageBreakBefore w:val="0"/>
        <w:widowControl/>
        <w:overflowPunct/>
        <w:topLinePunct w:val="0"/>
        <w:bidi w:val="0"/>
        <w:adjustRightInd w:val="0"/>
        <w:snapToGrid w:val="0"/>
        <w:spacing w:line="360" w:lineRule="auto"/>
        <w:rPr>
          <w:b/>
        </w:rPr>
      </w:pPr>
      <w:r>
        <w:rPr>
          <w:rFonts w:hint="eastAsia"/>
          <w:b/>
          <w:lang w:eastAsia="zh-CN"/>
        </w:rPr>
        <w:t>九</w:t>
      </w:r>
      <w:r>
        <w:rPr>
          <w:rFonts w:hint="eastAsia"/>
          <w:b/>
        </w:rPr>
        <w:t>、验收要求设置：</w:t>
      </w:r>
    </w:p>
    <w:p>
      <w:pPr>
        <w:keepNext w:val="0"/>
        <w:keepLines w:val="0"/>
        <w:pageBreakBefore w:val="0"/>
        <w:widowControl/>
        <w:overflowPunct/>
        <w:topLinePunct w:val="0"/>
        <w:bidi w:val="0"/>
        <w:adjustRightInd w:val="0"/>
        <w:snapToGrid w:val="0"/>
        <w:spacing w:line="360" w:lineRule="auto"/>
        <w:rPr>
          <w:b/>
        </w:rPr>
      </w:pPr>
    </w:p>
    <w:tbl>
      <w:tblPr>
        <w:tblStyle w:val="9"/>
        <w:tblW w:w="8080" w:type="dxa"/>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36"/>
        <w:gridCol w:w="68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2" w:hRule="atLeast"/>
        </w:trPr>
        <w:tc>
          <w:tcPr>
            <w:tcW w:w="1236"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验收期次</w:t>
            </w:r>
          </w:p>
        </w:tc>
        <w:tc>
          <w:tcPr>
            <w:tcW w:w="6844"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验收要求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2" w:hRule="atLeast"/>
        </w:trPr>
        <w:tc>
          <w:tcPr>
            <w:tcW w:w="1236"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1</w:t>
            </w:r>
          </w:p>
        </w:tc>
        <w:tc>
          <w:tcPr>
            <w:tcW w:w="6844" w:type="dxa"/>
            <w:vAlign w:val="center"/>
          </w:tcPr>
          <w:p>
            <w:pPr>
              <w:keepNext w:val="0"/>
              <w:keepLines w:val="0"/>
              <w:pageBreakBefore w:val="0"/>
              <w:widowControl/>
              <w:suppressLineNumbers w:val="0"/>
              <w:overflowPunct/>
              <w:topLinePunct w:val="0"/>
              <w:bidi w:val="0"/>
              <w:adjustRightInd w:val="0"/>
              <w:snapToGrid w:val="0"/>
              <w:spacing w:line="360" w:lineRule="auto"/>
              <w:jc w:val="left"/>
            </w:pPr>
            <w:r>
              <w:rPr>
                <w:rFonts w:hint="eastAsia"/>
                <w:lang w:val="en-US" w:eastAsia="zh-CN"/>
              </w:rPr>
              <w:t xml:space="preserve">符合国家、省市及行业现行规范、规程、规定的合格标准，在满足合同约定验收条件下，在3个工作日内完成验收 </w:t>
            </w:r>
          </w:p>
        </w:tc>
      </w:tr>
    </w:tbl>
    <w:p>
      <w:pPr>
        <w:keepNext w:val="0"/>
        <w:keepLines w:val="0"/>
        <w:pageBreakBefore w:val="0"/>
        <w:widowControl/>
        <w:numPr>
          <w:ilvl w:val="0"/>
          <w:numId w:val="1"/>
        </w:numPr>
        <w:overflowPunct/>
        <w:topLinePunct w:val="0"/>
        <w:bidi w:val="0"/>
        <w:adjustRightInd w:val="0"/>
        <w:snapToGrid w:val="0"/>
        <w:spacing w:line="360" w:lineRule="auto"/>
        <w:rPr>
          <w:rFonts w:hint="eastAsia"/>
          <w:b/>
          <w:lang w:val="en-US" w:eastAsia="zh-CN"/>
        </w:rPr>
      </w:pPr>
      <w:r>
        <w:rPr>
          <w:rFonts w:hint="eastAsia"/>
          <w:b/>
        </w:rPr>
        <w:t>合同履行期限：</w:t>
      </w:r>
      <w:r>
        <w:rPr>
          <w:rFonts w:hint="eastAsia"/>
          <w:b/>
          <w:lang w:val="en-US" w:eastAsia="zh-CN"/>
        </w:rPr>
        <w:t>合同签订后30个日历日完成此项服务</w:t>
      </w:r>
    </w:p>
    <w:p>
      <w:pPr>
        <w:keepNext w:val="0"/>
        <w:keepLines w:val="0"/>
        <w:pageBreakBefore w:val="0"/>
        <w:widowControl/>
        <w:numPr>
          <w:ilvl w:val="0"/>
          <w:numId w:val="1"/>
        </w:numPr>
        <w:overflowPunct/>
        <w:topLinePunct w:val="0"/>
        <w:bidi w:val="0"/>
        <w:adjustRightInd w:val="0"/>
        <w:snapToGrid w:val="0"/>
        <w:spacing w:line="360" w:lineRule="auto"/>
        <w:rPr>
          <w:b/>
        </w:rPr>
      </w:pPr>
      <w:r>
        <w:rPr>
          <w:rFonts w:hint="eastAsia"/>
          <w:b/>
          <w:lang w:val="en-US" w:eastAsia="zh-CN"/>
        </w:rPr>
        <w:t>其他要求</w:t>
      </w:r>
      <w:r>
        <w:rPr>
          <w:rFonts w:hint="eastAsia"/>
          <w:b/>
        </w:rPr>
        <w:t>：</w:t>
      </w:r>
      <w:r>
        <w:rPr>
          <w:rFonts w:hint="eastAsia" w:ascii="宋体" w:hAnsi="宋体" w:eastAsia="宋体" w:cs="宋体"/>
          <w:sz w:val="24"/>
          <w:szCs w:val="24"/>
          <w:lang w:val="en-US" w:eastAsia="zh-CN"/>
        </w:rPr>
        <w:t>按照《黑龙江省企业构建双重预防机制操作指南》和《企业安全风险分级管控体系建设通则》（DB23／T2296-2019）、《企业安全生产事故隐患排查治理体系建设通则》（DB23／T2576-2020）要求，构建双重预防机制，实施对医院风险和隐患的精准精细化管理。（提供承诺函）</w:t>
      </w:r>
    </w:p>
    <w:p>
      <w:pPr>
        <w:keepNext w:val="0"/>
        <w:keepLines w:val="0"/>
        <w:pageBreakBefore w:val="0"/>
        <w:widowControl/>
        <w:numPr>
          <w:ilvl w:val="0"/>
          <w:numId w:val="1"/>
        </w:numPr>
        <w:overflowPunct/>
        <w:topLinePunct w:val="0"/>
        <w:bidi w:val="0"/>
        <w:adjustRightInd w:val="0"/>
        <w:snapToGrid w:val="0"/>
        <w:spacing w:line="360" w:lineRule="auto"/>
        <w:rPr>
          <w:b/>
        </w:rPr>
      </w:pPr>
      <w:r>
        <w:rPr>
          <w:rFonts w:hint="eastAsia"/>
          <w:b/>
        </w:rPr>
        <w:t>特定资格要求：</w:t>
      </w:r>
      <w:r>
        <w:rPr>
          <w:b/>
        </w:rPr>
        <w:t xml:space="preserve"> </w:t>
      </w:r>
      <w:r>
        <w:rPr>
          <w:rFonts w:hint="eastAsia"/>
          <w:b/>
          <w:lang w:eastAsia="zh-CN"/>
        </w:rPr>
        <w:t>无</w:t>
      </w:r>
    </w:p>
    <w:p>
      <w:pPr>
        <w:keepNext w:val="0"/>
        <w:keepLines w:val="0"/>
        <w:pageBreakBefore w:val="0"/>
        <w:widowControl/>
        <w:numPr>
          <w:ilvl w:val="0"/>
          <w:numId w:val="1"/>
        </w:numPr>
        <w:overflowPunct/>
        <w:topLinePunct w:val="0"/>
        <w:bidi w:val="0"/>
        <w:adjustRightInd w:val="0"/>
        <w:snapToGrid w:val="0"/>
        <w:spacing w:line="360" w:lineRule="auto"/>
        <w:rPr>
          <w:b/>
        </w:rPr>
      </w:pPr>
      <w:r>
        <w:rPr>
          <w:rFonts w:hint="eastAsia"/>
          <w:b/>
        </w:rPr>
        <w:t>技术参数：</w:t>
      </w:r>
    </w:p>
    <w:p>
      <w:pPr>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br w:type="page"/>
      </w:r>
    </w:p>
    <w:p>
      <w:pPr>
        <w:keepNext w:val="0"/>
        <w:keepLines w:val="0"/>
        <w:pageBreakBefore w:val="0"/>
        <w:widowControl/>
        <w:overflowPunct/>
        <w:topLinePunct w:val="0"/>
        <w:bidi w:val="0"/>
        <w:adjustRightInd w:val="0"/>
        <w:snapToGrid w:val="0"/>
        <w:spacing w:line="360" w:lineRule="auto"/>
        <w:jc w:val="center"/>
        <w:rPr>
          <w:rFonts w:hint="eastAsia" w:ascii="宋体" w:hAnsi="宋体"/>
          <w:b/>
          <w:color w:val="FF0000"/>
          <w:sz w:val="24"/>
        </w:rPr>
      </w:pPr>
      <w:r>
        <w:rPr>
          <w:rFonts w:hint="eastAsia" w:ascii="宋体" w:hAnsi="宋体"/>
          <w:b/>
          <w:color w:val="000000" w:themeColor="text1"/>
          <w:sz w:val="24"/>
          <w14:textFill>
            <w14:solidFill>
              <w14:schemeClr w14:val="tx1"/>
            </w14:solidFill>
          </w14:textFill>
        </w:rPr>
        <w:t>技术参数</w:t>
      </w:r>
      <w:r>
        <w:rPr>
          <w:rFonts w:hint="eastAsia" w:ascii="宋体" w:hAnsi="宋体"/>
          <w:b/>
          <w:color w:val="FF0000"/>
          <w:sz w:val="24"/>
        </w:rPr>
        <w:t>（序号手动输入不要有格式）</w:t>
      </w:r>
    </w:p>
    <w:p>
      <w:pPr>
        <w:keepNext w:val="0"/>
        <w:keepLines w:val="0"/>
        <w:pageBreakBefore w:val="0"/>
        <w:widowControl/>
        <w:overflowPunct/>
        <w:topLinePunct w:val="0"/>
        <w:bidi w:val="0"/>
        <w:adjustRightInd w:val="0"/>
        <w:snapToGrid w:val="0"/>
        <w:spacing w:line="360" w:lineRule="auto"/>
        <w:jc w:val="center"/>
        <w:rPr>
          <w:rFonts w:hint="eastAsia" w:ascii="宋体" w:hAnsi="宋体"/>
          <w:b/>
          <w:color w:val="FF0000"/>
          <w:sz w:val="24"/>
        </w:rPr>
      </w:pPr>
    </w:p>
    <w:tbl>
      <w:tblPr>
        <w:tblStyle w:val="9"/>
        <w:tblW w:w="910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745"/>
        <w:gridCol w:w="63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87"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内容明细</w:t>
            </w:r>
          </w:p>
        </w:tc>
        <w:tc>
          <w:tcPr>
            <w:tcW w:w="6361" w:type="dxa"/>
            <w:vAlign w:val="center"/>
          </w:tcPr>
          <w:p>
            <w:pPr>
              <w:keepNext w:val="0"/>
              <w:keepLines w:val="0"/>
              <w:pageBreakBefore w:val="0"/>
              <w:widowControl/>
              <w:overflowPunct/>
              <w:topLinePunct w:val="0"/>
              <w:bidi w:val="0"/>
              <w:adjustRightInd w:val="0"/>
              <w:snapToGrid w:val="0"/>
              <w:spacing w:line="360" w:lineRule="auto"/>
              <w:jc w:val="center"/>
            </w:pPr>
            <w:r>
              <w:rPr>
                <w:rFonts w:hint="eastAsia"/>
              </w:rPr>
              <w:t>内容说明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87"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both"/>
              <w:rPr>
                <w:rFonts w:hint="eastAsia"/>
              </w:rPr>
            </w:pPr>
            <w:r>
              <w:rPr>
                <w:rFonts w:hint="eastAsia" w:ascii="宋体" w:hAnsi="宋体" w:eastAsia="宋体" w:cs="宋体"/>
                <w:sz w:val="24"/>
                <w:szCs w:val="24"/>
                <w:lang w:val="en-US" w:eastAsia="zh-CN"/>
              </w:rPr>
              <w:t>建设要求</w:t>
            </w:r>
          </w:p>
        </w:tc>
        <w:tc>
          <w:tcPr>
            <w:tcW w:w="6361" w:type="dxa"/>
            <w:vAlign w:val="center"/>
          </w:tcPr>
          <w:p>
            <w:pPr>
              <w:keepNext w:val="0"/>
              <w:keepLines w:val="0"/>
              <w:pageBreakBefore w:val="0"/>
              <w:widowControl/>
              <w:overflowPunct/>
              <w:topLinePunct w:val="0"/>
              <w:bidi w:val="0"/>
              <w:adjustRightInd w:val="0"/>
              <w:snapToGrid w:val="0"/>
              <w:spacing w:line="360" w:lineRule="auto"/>
              <w:jc w:val="both"/>
              <w:rPr>
                <w:rFonts w:hint="eastAsia"/>
              </w:rPr>
            </w:pPr>
            <w:r>
              <w:rPr>
                <w:rFonts w:hint="eastAsia" w:ascii="宋体" w:hAnsi="宋体" w:eastAsia="宋体" w:cs="宋体"/>
                <w:sz w:val="24"/>
                <w:szCs w:val="24"/>
                <w:lang w:val="en-US" w:eastAsia="zh-CN"/>
              </w:rPr>
              <w:t>1、需满足双重预防机制信息管理平台与采购人所在地区省、市上级主管部门远程监管安全生产双重预防机制监管平台对接，对接平台产生的接口费用，由中标供应商承担。（提供承诺函并加盖投标供应商单位公章，承诺函格式自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87"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both"/>
              <w:rPr>
                <w:rFonts w:hint="eastAsia"/>
              </w:rPr>
            </w:pPr>
            <w:r>
              <w:rPr>
                <w:rFonts w:hint="eastAsia" w:ascii="宋体" w:hAnsi="宋体" w:eastAsia="宋体" w:cs="宋体"/>
                <w:sz w:val="24"/>
                <w:szCs w:val="24"/>
                <w:lang w:val="en-US" w:eastAsia="zh-CN"/>
              </w:rPr>
              <w:t>人员配备</w:t>
            </w:r>
          </w:p>
        </w:tc>
        <w:tc>
          <w:tcPr>
            <w:tcW w:w="6361" w:type="dxa"/>
            <w:vAlign w:val="center"/>
          </w:tcPr>
          <w:p>
            <w:pPr>
              <w:keepNext w:val="0"/>
              <w:keepLines w:val="0"/>
              <w:pageBreakBefore w:val="0"/>
              <w:widowControl/>
              <w:numPr>
                <w:ilvl w:val="0"/>
                <w:numId w:val="2"/>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投标供应商拟派本项目的项目负责人≥1人，具有中级以上安全工程师职称证书及注册安全工程师证书（提供人员身份证、职称证书、注册安全工程师证书复印件或扫描件并加盖投标供应商单位公章）。</w:t>
            </w:r>
          </w:p>
          <w:p>
            <w:pPr>
              <w:keepNext w:val="0"/>
              <w:keepLines w:val="0"/>
              <w:pageBreakBefore w:val="0"/>
              <w:widowControl/>
              <w:numPr>
                <w:ilvl w:val="0"/>
                <w:numId w:val="2"/>
              </w:numPr>
              <w:overflowPunct/>
              <w:topLinePunct w:val="0"/>
              <w:bidi w:val="0"/>
              <w:adjustRightInd w:val="0"/>
              <w:snapToGrid w:val="0"/>
              <w:spacing w:line="360" w:lineRule="auto"/>
              <w:jc w:val="both"/>
              <w:rPr>
                <w:rFonts w:hint="eastAsia"/>
              </w:rPr>
            </w:pPr>
            <w:r>
              <w:rPr>
                <w:rFonts w:hint="eastAsia" w:ascii="宋体" w:hAnsi="宋体" w:eastAsia="宋体" w:cs="宋体"/>
                <w:sz w:val="24"/>
                <w:szCs w:val="24"/>
                <w:lang w:val="en-US" w:eastAsia="zh-CN"/>
              </w:rPr>
              <w:t>拟派本项目组成员≥2人，具有注册安全工程师证书（提供人员身份证、注册安全工程师证书复印件或扫描件并加盖投标供应商单位公章）。</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7"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both"/>
              <w:rPr>
                <w:rFonts w:hint="eastAsia" w:eastAsiaTheme="minorEastAsia"/>
                <w:lang w:eastAsia="zh-CN"/>
              </w:rPr>
            </w:pPr>
            <w:r>
              <w:rPr>
                <w:rFonts w:hint="eastAsia" w:ascii="宋体" w:hAnsi="宋体" w:eastAsia="宋体" w:cs="宋体"/>
                <w:sz w:val="24"/>
                <w:szCs w:val="24"/>
                <w:lang w:val="en-US" w:eastAsia="zh-CN"/>
              </w:rPr>
              <w:t>提供风险分级管控和隐患排查治理双重预防机制体系建设服务。</w:t>
            </w:r>
          </w:p>
        </w:tc>
        <w:tc>
          <w:tcPr>
            <w:tcW w:w="6361" w:type="dxa"/>
            <w:vAlign w:val="center"/>
          </w:tcPr>
          <w:p>
            <w:pPr>
              <w:keepNext w:val="0"/>
              <w:keepLines w:val="0"/>
              <w:pageBreakBefore w:val="0"/>
              <w:widowControl/>
              <w:numPr>
                <w:ilvl w:val="0"/>
                <w:numId w:val="3"/>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协助医院进行风险辨识评估和隐患排查治理（双重预防机制）体系建设服务，服务包括但不限于以下内容：</w:t>
            </w:r>
          </w:p>
          <w:p>
            <w:pPr>
              <w:keepNext w:val="0"/>
              <w:keepLines w:val="0"/>
              <w:pageBreakBefore w:val="0"/>
              <w:widowControl/>
              <w:numPr>
                <w:ilvl w:val="0"/>
                <w:numId w:val="4"/>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双重预防机制制度汇编，</w:t>
            </w:r>
          </w:p>
          <w:p>
            <w:pPr>
              <w:keepNext w:val="0"/>
              <w:keepLines w:val="0"/>
              <w:pageBreakBefore w:val="0"/>
              <w:widowControl/>
              <w:numPr>
                <w:ilvl w:val="0"/>
                <w:numId w:val="4"/>
              </w:numPr>
              <w:overflowPunct/>
              <w:topLinePunct w:val="0"/>
              <w:bidi w:val="0"/>
              <w:adjustRightInd w:val="0"/>
              <w:snapToGrid w:val="0"/>
              <w:spacing w:line="360" w:lineRule="auto"/>
              <w:jc w:val="both"/>
              <w:rPr>
                <w:rFonts w:hint="default"/>
                <w:lang w:val="en-US" w:eastAsia="zh-CN"/>
              </w:rPr>
            </w:pPr>
            <w:r>
              <w:rPr>
                <w:rFonts w:hint="eastAsia" w:ascii="宋体" w:hAnsi="宋体" w:eastAsia="宋体" w:cs="宋体"/>
                <w:sz w:val="24"/>
                <w:szCs w:val="24"/>
                <w:lang w:val="en-US" w:eastAsia="zh-CN"/>
              </w:rPr>
              <w:t>双重预防机制风险点清单，</w:t>
            </w:r>
          </w:p>
          <w:p>
            <w:pPr>
              <w:keepNext w:val="0"/>
              <w:keepLines w:val="0"/>
              <w:pageBreakBefore w:val="0"/>
              <w:widowControl/>
              <w:numPr>
                <w:ilvl w:val="0"/>
                <w:numId w:val="4"/>
              </w:numPr>
              <w:overflowPunct/>
              <w:topLinePunct w:val="0"/>
              <w:bidi w:val="0"/>
              <w:adjustRightInd w:val="0"/>
              <w:snapToGrid w:val="0"/>
              <w:spacing w:line="360" w:lineRule="auto"/>
              <w:jc w:val="both"/>
              <w:rPr>
                <w:rFonts w:hint="default"/>
                <w:lang w:val="en-US" w:eastAsia="zh-CN"/>
              </w:rPr>
            </w:pPr>
            <w:r>
              <w:rPr>
                <w:rFonts w:hint="eastAsia" w:ascii="宋体" w:hAnsi="宋体" w:eastAsia="宋体" w:cs="宋体"/>
                <w:sz w:val="24"/>
                <w:szCs w:val="24"/>
                <w:lang w:val="en-US" w:eastAsia="zh-CN"/>
              </w:rPr>
              <w:t>双重预防机制风险分级管控台账，</w:t>
            </w:r>
          </w:p>
          <w:p>
            <w:pPr>
              <w:keepNext w:val="0"/>
              <w:keepLines w:val="0"/>
              <w:pageBreakBefore w:val="0"/>
              <w:widowControl/>
              <w:numPr>
                <w:ilvl w:val="0"/>
                <w:numId w:val="4"/>
              </w:numPr>
              <w:overflowPunct/>
              <w:topLinePunct w:val="0"/>
              <w:bidi w:val="0"/>
              <w:adjustRightInd w:val="0"/>
              <w:snapToGrid w:val="0"/>
              <w:spacing w:line="360" w:lineRule="auto"/>
              <w:jc w:val="both"/>
              <w:rPr>
                <w:rFonts w:hint="default"/>
                <w:lang w:val="en-US" w:eastAsia="zh-CN"/>
              </w:rPr>
            </w:pPr>
            <w:r>
              <w:rPr>
                <w:rFonts w:hint="eastAsia" w:ascii="宋体" w:hAnsi="宋体" w:eastAsia="宋体" w:cs="宋体"/>
                <w:sz w:val="24"/>
                <w:szCs w:val="24"/>
                <w:lang w:val="en-US" w:eastAsia="zh-CN"/>
              </w:rPr>
              <w:t>双重预防机制隐患排查表，</w:t>
            </w:r>
          </w:p>
          <w:p>
            <w:pPr>
              <w:keepNext w:val="0"/>
              <w:keepLines w:val="0"/>
              <w:pageBreakBefore w:val="0"/>
              <w:widowControl/>
              <w:numPr>
                <w:ilvl w:val="0"/>
                <w:numId w:val="4"/>
              </w:numPr>
              <w:overflowPunct/>
              <w:topLinePunct w:val="0"/>
              <w:bidi w:val="0"/>
              <w:adjustRightInd w:val="0"/>
              <w:snapToGrid w:val="0"/>
              <w:spacing w:line="360" w:lineRule="auto"/>
              <w:jc w:val="both"/>
              <w:rPr>
                <w:rFonts w:hint="default"/>
                <w:lang w:val="en-US" w:eastAsia="zh-CN"/>
              </w:rPr>
            </w:pPr>
            <w:r>
              <w:rPr>
                <w:rFonts w:hint="eastAsia" w:ascii="宋体" w:hAnsi="宋体" w:eastAsia="宋体" w:cs="宋体"/>
                <w:sz w:val="24"/>
                <w:szCs w:val="24"/>
                <w:lang w:val="en-US" w:eastAsia="zh-CN"/>
              </w:rPr>
              <w:t>双重预防机制隐患治理台账，</w:t>
            </w:r>
          </w:p>
          <w:p>
            <w:pPr>
              <w:keepNext w:val="0"/>
              <w:keepLines w:val="0"/>
              <w:pageBreakBefore w:val="0"/>
              <w:widowControl/>
              <w:numPr>
                <w:ilvl w:val="0"/>
                <w:numId w:val="4"/>
              </w:numPr>
              <w:overflowPunct/>
              <w:topLinePunct w:val="0"/>
              <w:bidi w:val="0"/>
              <w:adjustRightInd w:val="0"/>
              <w:snapToGrid w:val="0"/>
              <w:spacing w:line="360" w:lineRule="auto"/>
              <w:jc w:val="both"/>
              <w:rPr>
                <w:rFonts w:hint="default"/>
                <w:lang w:val="en-US" w:eastAsia="zh-CN"/>
              </w:rPr>
            </w:pPr>
            <w:r>
              <w:rPr>
                <w:rFonts w:hint="eastAsia" w:ascii="宋体" w:hAnsi="宋体" w:eastAsia="宋体" w:cs="宋体"/>
                <w:sz w:val="24"/>
                <w:szCs w:val="24"/>
                <w:lang w:val="en-US" w:eastAsia="zh-CN"/>
              </w:rPr>
              <w:t>设计两图一栏一卡（安全风险四色分布图、作业风险比较图、岗位风险告知卡、风险告知栏）安全地图等工作。（提供相应承诺，中标服务完成后需提供实质性材料。）</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2"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both"/>
              <w:rPr>
                <w:rFonts w:hint="eastAsia" w:eastAsiaTheme="minorEastAsia"/>
                <w:lang w:eastAsia="zh-CN"/>
              </w:rPr>
            </w:pPr>
            <w:r>
              <w:rPr>
                <w:rFonts w:hint="eastAsia" w:ascii="宋体" w:hAnsi="宋体" w:eastAsia="宋体" w:cs="宋体"/>
                <w:sz w:val="24"/>
                <w:szCs w:val="24"/>
                <w:lang w:val="en-US" w:eastAsia="zh-CN"/>
              </w:rPr>
              <w:t>安全生产一体化信息化平台</w:t>
            </w:r>
          </w:p>
        </w:tc>
        <w:tc>
          <w:tcPr>
            <w:tcW w:w="6361" w:type="dxa"/>
            <w:vAlign w:val="center"/>
          </w:tcPr>
          <w:p>
            <w:pPr>
              <w:keepNext w:val="0"/>
              <w:keepLines w:val="0"/>
              <w:pageBreakBefore w:val="0"/>
              <w:widowControl/>
              <w:numPr>
                <w:ilvl w:val="0"/>
                <w:numId w:val="0"/>
              </w:numPr>
              <w:overflowPunct/>
              <w:topLinePunct w:val="0"/>
              <w:bidi w:val="0"/>
              <w:adjustRightInd w:val="0"/>
              <w:snapToGrid w:val="0"/>
              <w:spacing w:line="360" w:lineRule="auto"/>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1、投标供应商需提供医疗相关行业安全风险分级管控和隐患排查治理管控系统计算机软件，在线下风险辨识评估的基础上，以安全生产标准化为核心，建设符合要求的安全生产一体化信息化平台，并完成软件的安装、调试、培训、使用、交付全流程。</w:t>
            </w:r>
            <w:r>
              <w:rPr>
                <w:rFonts w:hint="eastAsia" w:ascii="宋体" w:hAnsi="宋体" w:eastAsia="宋体" w:cs="宋体"/>
                <w:sz w:val="24"/>
                <w:szCs w:val="24"/>
                <w:highlight w:val="none"/>
                <w:lang w:val="en-US" w:eastAsia="zh-CN"/>
              </w:rPr>
              <w:t>（需提供智慧双重预防管控平台、双重预防隐患排查治理系统计算机软件著作权登记证书扫描或复印件并加盖投标供应商单位公章）。</w:t>
            </w:r>
          </w:p>
          <w:p>
            <w:pPr>
              <w:keepNext w:val="0"/>
              <w:keepLines w:val="0"/>
              <w:pageBreakBefore w:val="0"/>
              <w:widowControl/>
              <w:numPr>
                <w:ilvl w:val="0"/>
                <w:numId w:val="0"/>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lang w:val="en-US" w:eastAsia="zh-CN"/>
              </w:rPr>
              <w:t>、第一年平台服务免费，第二年如继续使用，根据采购人市场调研询价结果确定服务费金额，最终金额不高于1万元。（提供相应承诺）</w:t>
            </w:r>
          </w:p>
          <w:p>
            <w:pPr>
              <w:keepNext w:val="0"/>
              <w:keepLines w:val="0"/>
              <w:pageBreakBefore w:val="0"/>
              <w:widowControl/>
              <w:numPr>
                <w:ilvl w:val="0"/>
                <w:numId w:val="0"/>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3、数字化的安全管理委员会及科室安全责任人组织架构管理在后端平台的可视化配置管理。（提供系统功能截图）</w:t>
            </w:r>
          </w:p>
          <w:p>
            <w:pPr>
              <w:keepNext w:val="0"/>
              <w:keepLines w:val="0"/>
              <w:pageBreakBefore w:val="0"/>
              <w:widowControl/>
              <w:numPr>
                <w:ilvl w:val="0"/>
                <w:numId w:val="0"/>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4、系统能够对相关台账管理模板、过程证据、管理活动提供数字化支持。（提供系统功能截图）</w:t>
            </w:r>
          </w:p>
          <w:p>
            <w:pPr>
              <w:keepNext w:val="0"/>
              <w:keepLines w:val="0"/>
              <w:pageBreakBefore w:val="0"/>
              <w:widowControl/>
              <w:numPr>
                <w:ilvl w:val="0"/>
                <w:numId w:val="0"/>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5、需为医院安全管理部门提供可以覆盖全部科室、重点部位、重点风险点的安全管理风险检查的数字化检查任务记录和留痕功能体系。（提供系统功能截图）</w:t>
            </w:r>
          </w:p>
          <w:p>
            <w:pPr>
              <w:keepNext w:val="0"/>
              <w:keepLines w:val="0"/>
              <w:pageBreakBefore w:val="0"/>
              <w:widowControl/>
              <w:numPr>
                <w:ilvl w:val="0"/>
                <w:numId w:val="0"/>
              </w:numPr>
              <w:overflowPunct/>
              <w:topLinePunct w:val="0"/>
              <w:bidi w:val="0"/>
              <w:adjustRightInd w:val="0"/>
              <w:snapToGrid w:val="0"/>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系统配套手机端，应当提供用户可以在手机端完成每个人员的履职工作包括：完成安全检查、完成安全线上培训，考试、完成安全隐患整改的各项任务、查看各种通知和预案、接收各项安全分析统计报告等。（提供系统功能截图）</w:t>
            </w:r>
          </w:p>
          <w:p>
            <w:pPr>
              <w:keepNext w:val="0"/>
              <w:keepLines w:val="0"/>
              <w:pageBreakBefore w:val="0"/>
              <w:widowControl/>
              <w:overflowPunct/>
              <w:topLinePunct w:val="0"/>
              <w:bidi w:val="0"/>
              <w:adjustRightInd w:val="0"/>
              <w:snapToGrid w:val="0"/>
              <w:spacing w:line="360" w:lineRule="auto"/>
              <w:jc w:val="both"/>
              <w:rPr>
                <w:rFonts w:hint="default" w:asciiTheme="majorEastAsia" w:hAnsiTheme="majorEastAsia" w:eastAsiaTheme="majorEastAsia"/>
                <w:lang w:val="en-US" w:eastAsia="zh-CN"/>
              </w:rPr>
            </w:pPr>
            <w:r>
              <w:rPr>
                <w:rFonts w:hint="eastAsia" w:ascii="宋体" w:hAnsi="宋体" w:eastAsia="宋体" w:cs="宋体"/>
                <w:sz w:val="24"/>
                <w:szCs w:val="24"/>
                <w:lang w:val="en-US" w:eastAsia="zh-CN"/>
              </w:rPr>
              <w:t>7、投标方应保证所提供的安全生产一体化信息化平台满足上级政府监管平台对接条件和参数要求，并承担系统接入可能产生的一切费用。（提供相应承诺）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2"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both"/>
            </w:pPr>
            <w:r>
              <w:rPr>
                <w:rFonts w:hint="eastAsia" w:ascii="宋体" w:hAnsi="宋体" w:eastAsia="宋体" w:cs="宋体"/>
                <w:sz w:val="24"/>
                <w:szCs w:val="24"/>
                <w:lang w:val="en-US" w:eastAsia="zh-CN"/>
              </w:rPr>
              <w:t>生产安全事故应急预案体系建设</w:t>
            </w:r>
          </w:p>
        </w:tc>
        <w:tc>
          <w:tcPr>
            <w:tcW w:w="6361" w:type="dxa"/>
            <w:vAlign w:val="center"/>
          </w:tcPr>
          <w:p>
            <w:pPr>
              <w:keepNext w:val="0"/>
              <w:keepLines w:val="0"/>
              <w:pageBreakBefore w:val="0"/>
              <w:widowControl/>
              <w:kinsoku/>
              <w:wordWrap w:val="0"/>
              <w:overflowPunct/>
              <w:topLinePunct w:val="0"/>
              <w:autoSpaceDE/>
              <w:autoSpaceDN/>
              <w:bidi w:val="0"/>
              <w:adjustRightInd w:val="0"/>
              <w:snapToGrid w:val="0"/>
              <w:spacing w:line="360" w:lineRule="auto"/>
              <w:jc w:val="both"/>
              <w:textAlignment w:val="auto"/>
            </w:pPr>
            <w:r>
              <w:rPr>
                <w:rFonts w:hint="eastAsia" w:ascii="宋体" w:hAnsi="宋体" w:eastAsia="宋体" w:cs="宋体"/>
                <w:sz w:val="24"/>
                <w:szCs w:val="24"/>
                <w:lang w:val="en-US" w:eastAsia="zh-CN"/>
              </w:rPr>
              <w:t>1、负责医院建立生产安全应急救援体系;制定生产安全事故综合应急预案、生产安全事故专项应急预案、生产安全事故现场处置方案、生产安全事故风险辨识评估报告、生产安全事故应急资源调查报告、生产安全事故应急预案专家评审报告（含专家评审费用）。（提供相应承诺，中标服务完成后需提供实质性材料。）</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2" w:hRule="atLeast"/>
        </w:trPr>
        <w:tc>
          <w:tcPr>
            <w:tcW w:w="2745" w:type="dxa"/>
            <w:vAlign w:val="center"/>
          </w:tcPr>
          <w:p>
            <w:pPr>
              <w:keepNext w:val="0"/>
              <w:keepLines w:val="0"/>
              <w:pageBreakBefore w:val="0"/>
              <w:widowControl/>
              <w:overflowPunct/>
              <w:topLinePunct w:val="0"/>
              <w:bidi w:val="0"/>
              <w:adjustRightInd w:val="0"/>
              <w:snapToGrid w:val="0"/>
              <w:spacing w:line="360" w:lineRule="auto"/>
              <w:jc w:val="both"/>
              <w:rPr>
                <w:rFonts w:hint="eastAsia"/>
                <w:lang w:val="en-US" w:eastAsia="zh-CN"/>
              </w:rPr>
            </w:pPr>
            <w:r>
              <w:rPr>
                <w:rFonts w:hint="eastAsia" w:ascii="宋体" w:hAnsi="宋体" w:eastAsia="宋体" w:cs="宋体"/>
                <w:sz w:val="24"/>
                <w:szCs w:val="24"/>
                <w:lang w:val="en-US" w:eastAsia="zh-CN"/>
              </w:rPr>
              <w:t>相关业绩</w:t>
            </w:r>
          </w:p>
        </w:tc>
        <w:tc>
          <w:tcPr>
            <w:tcW w:w="6361" w:type="dxa"/>
            <w:vAlign w:val="center"/>
          </w:tcPr>
          <w:p>
            <w:pPr>
              <w:keepNext w:val="0"/>
              <w:keepLines w:val="0"/>
              <w:pageBreakBefore w:val="0"/>
              <w:widowControl/>
              <w:kinsoku/>
              <w:wordWrap w:val="0"/>
              <w:overflowPunct/>
              <w:topLinePunct w:val="0"/>
              <w:autoSpaceDE/>
              <w:autoSpaceDN/>
              <w:bidi w:val="0"/>
              <w:adjustRightInd w:val="0"/>
              <w:snapToGrid w:val="0"/>
              <w:spacing w:line="360" w:lineRule="auto"/>
              <w:jc w:val="both"/>
              <w:textAlignment w:val="auto"/>
            </w:pPr>
            <w:r>
              <w:rPr>
                <w:rFonts w:hint="eastAsia" w:ascii="宋体" w:hAnsi="宋体" w:eastAsia="宋体" w:cs="宋体"/>
                <w:sz w:val="24"/>
                <w:szCs w:val="24"/>
                <w:lang w:val="en-US" w:eastAsia="zh-CN"/>
              </w:rPr>
              <w:t>提供 2024年1月1日至今与医院相关的业绩4份。（业绩合同中应体现包含双机制建设和信息化平台建设）（提供业绩合同和中标通知书扫描件（合同封面（或合同首页）、合同关键内容页、签字盖章页等能证明业绩真实性相关内容的原件扫描件）</w:t>
            </w:r>
          </w:p>
        </w:tc>
      </w:tr>
    </w:tbl>
    <w:p>
      <w:pPr>
        <w:keepNext w:val="0"/>
        <w:keepLines w:val="0"/>
        <w:pageBreakBefore w:val="0"/>
        <w:widowControl/>
        <w:overflowPunct/>
        <w:topLinePunct w:val="0"/>
        <w:bidi w:val="0"/>
        <w:adjustRightInd w:val="0"/>
        <w:snapToGrid w:val="0"/>
        <w:spacing w:line="360" w:lineRule="auto"/>
        <w:jc w:val="both"/>
        <w:rPr>
          <w:rFonts w:ascii="Microsoft YaHei UI" w:hAnsi="Microsoft YaHei UI" w:eastAsia="Microsoft YaHei UI"/>
        </w:rPr>
      </w:pPr>
      <w:bookmarkStart w:id="0" w:name="_GoBack"/>
      <w:bookmarkEnd w:id="0"/>
    </w:p>
    <w:p>
      <w:pPr>
        <w:keepNext w:val="0"/>
        <w:keepLines w:val="0"/>
        <w:pageBreakBefore w:val="0"/>
        <w:widowControl/>
        <w:overflowPunct/>
        <w:topLinePunct w:val="0"/>
        <w:bidi w:val="0"/>
        <w:adjustRightInd w:val="0"/>
        <w:snapToGrid w:val="0"/>
        <w:spacing w:line="360" w:lineRule="auto"/>
        <w:rPr>
          <w:b/>
        </w:rPr>
      </w:pPr>
      <w:r>
        <w:rPr>
          <w:rFonts w:hint="eastAsia" w:ascii="宋体" w:hAnsi="宋体"/>
          <w:b/>
          <w:color w:val="FF0000"/>
          <w:sz w:val="24"/>
        </w:rPr>
        <w:t>注：（注：星号条款需提供相关佐证材料，并标明佐证材料页码）说明：打</w:t>
      </w:r>
      <w:r>
        <w:rPr>
          <w:rFonts w:ascii="宋体" w:hAnsi="宋体"/>
          <w:b/>
          <w:color w:val="FF0000"/>
          <w:sz w:val="24"/>
        </w:rPr>
        <w:t>“</w:t>
      </w:r>
      <w:r>
        <w:rPr>
          <w:rFonts w:hint="eastAsia" w:ascii="宋体" w:hAnsi="宋体"/>
          <w:b/>
          <w:color w:val="FF0000"/>
          <w:sz w:val="24"/>
        </w:rPr>
        <w:t>★</w:t>
      </w:r>
      <w:r>
        <w:rPr>
          <w:rFonts w:ascii="宋体" w:hAnsi="宋体"/>
          <w:b/>
          <w:color w:val="FF0000"/>
          <w:sz w:val="24"/>
        </w:rPr>
        <w:t>”</w:t>
      </w:r>
      <w:r>
        <w:rPr>
          <w:rFonts w:hint="eastAsia" w:ascii="宋体" w:hAnsi="宋体"/>
          <w:b/>
          <w:color w:val="FF0000"/>
          <w:sz w:val="24"/>
        </w:rPr>
        <w:t>号条款为实质性条款，若有任何一条负偏离或不满足则导致投标无效。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Microsoft YaHei UI">
    <w:altName w:val="微软雅黑"/>
    <w:panose1 w:val="00000000000000000000"/>
    <w:charset w:val="86"/>
    <w:family w:val="swiss"/>
    <w:pitch w:val="default"/>
    <w:sig w:usb0="00000000" w:usb1="00000000" w:usb2="00000016" w:usb3="00000000" w:csb0="0004001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082E58"/>
    <w:multiLevelType w:val="singleLevel"/>
    <w:tmpl w:val="A3082E58"/>
    <w:lvl w:ilvl="0" w:tentative="0">
      <w:start w:val="1"/>
      <w:numFmt w:val="decimal"/>
      <w:suff w:val="nothing"/>
      <w:lvlText w:val="（%1）"/>
      <w:lvlJc w:val="left"/>
    </w:lvl>
  </w:abstractNum>
  <w:abstractNum w:abstractNumId="1">
    <w:nsid w:val="ADBB3780"/>
    <w:multiLevelType w:val="singleLevel"/>
    <w:tmpl w:val="ADBB3780"/>
    <w:lvl w:ilvl="0" w:tentative="0">
      <w:start w:val="1"/>
      <w:numFmt w:val="decimal"/>
      <w:suff w:val="nothing"/>
      <w:lvlText w:val="%1、"/>
      <w:lvlJc w:val="left"/>
    </w:lvl>
  </w:abstractNum>
  <w:abstractNum w:abstractNumId="2">
    <w:nsid w:val="FABB5500"/>
    <w:multiLevelType w:val="singleLevel"/>
    <w:tmpl w:val="FABB5500"/>
    <w:lvl w:ilvl="0" w:tentative="0">
      <w:start w:val="10"/>
      <w:numFmt w:val="chineseCounting"/>
      <w:suff w:val="nothing"/>
      <w:lvlText w:val="%1、"/>
      <w:lvlJc w:val="left"/>
      <w:rPr>
        <w:rFonts w:hint="eastAsia"/>
      </w:rPr>
    </w:lvl>
  </w:abstractNum>
  <w:abstractNum w:abstractNumId="3">
    <w:nsid w:val="477D8BC1"/>
    <w:multiLevelType w:val="singleLevel"/>
    <w:tmpl w:val="477D8BC1"/>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mMzA0NDQ4YmM2YzIxMWVhOTVjZTJjOTdhNWI2Y2UifQ=="/>
  </w:docVars>
  <w:rsids>
    <w:rsidRoot w:val="00AE2308"/>
    <w:rsid w:val="00027FC2"/>
    <w:rsid w:val="00033959"/>
    <w:rsid w:val="00044BAF"/>
    <w:rsid w:val="00061EAE"/>
    <w:rsid w:val="000E5D77"/>
    <w:rsid w:val="00112F49"/>
    <w:rsid w:val="00141E6E"/>
    <w:rsid w:val="00166E03"/>
    <w:rsid w:val="00172995"/>
    <w:rsid w:val="00176AC9"/>
    <w:rsid w:val="001D3EF1"/>
    <w:rsid w:val="001F78C1"/>
    <w:rsid w:val="00217A05"/>
    <w:rsid w:val="0022358B"/>
    <w:rsid w:val="00252DB9"/>
    <w:rsid w:val="00275321"/>
    <w:rsid w:val="00277B56"/>
    <w:rsid w:val="00295202"/>
    <w:rsid w:val="002C4A89"/>
    <w:rsid w:val="002E5C6B"/>
    <w:rsid w:val="002F09D1"/>
    <w:rsid w:val="0030691B"/>
    <w:rsid w:val="00323C6B"/>
    <w:rsid w:val="00323D68"/>
    <w:rsid w:val="003267E1"/>
    <w:rsid w:val="003342DF"/>
    <w:rsid w:val="00354F31"/>
    <w:rsid w:val="003A7207"/>
    <w:rsid w:val="003A7432"/>
    <w:rsid w:val="004019ED"/>
    <w:rsid w:val="00412136"/>
    <w:rsid w:val="004146E1"/>
    <w:rsid w:val="00473593"/>
    <w:rsid w:val="00477D18"/>
    <w:rsid w:val="004C202D"/>
    <w:rsid w:val="004C3C66"/>
    <w:rsid w:val="004E268F"/>
    <w:rsid w:val="004E6D50"/>
    <w:rsid w:val="00510928"/>
    <w:rsid w:val="005E1837"/>
    <w:rsid w:val="005F57E7"/>
    <w:rsid w:val="00611A16"/>
    <w:rsid w:val="006979D1"/>
    <w:rsid w:val="006B7B63"/>
    <w:rsid w:val="006E7C43"/>
    <w:rsid w:val="00727141"/>
    <w:rsid w:val="007877B7"/>
    <w:rsid w:val="007C5A69"/>
    <w:rsid w:val="007F042E"/>
    <w:rsid w:val="007F6F9B"/>
    <w:rsid w:val="00833E32"/>
    <w:rsid w:val="00851D01"/>
    <w:rsid w:val="0085678C"/>
    <w:rsid w:val="00865D40"/>
    <w:rsid w:val="0087089D"/>
    <w:rsid w:val="00872A4C"/>
    <w:rsid w:val="00880FE8"/>
    <w:rsid w:val="008E7A4C"/>
    <w:rsid w:val="00906255"/>
    <w:rsid w:val="00915F6E"/>
    <w:rsid w:val="0094770A"/>
    <w:rsid w:val="00953BD3"/>
    <w:rsid w:val="009A3FB2"/>
    <w:rsid w:val="009B1CFC"/>
    <w:rsid w:val="009C22DC"/>
    <w:rsid w:val="009C4779"/>
    <w:rsid w:val="009D4260"/>
    <w:rsid w:val="009D6465"/>
    <w:rsid w:val="009D7C19"/>
    <w:rsid w:val="00A450A5"/>
    <w:rsid w:val="00A63764"/>
    <w:rsid w:val="00A71F40"/>
    <w:rsid w:val="00AD40E7"/>
    <w:rsid w:val="00AE2308"/>
    <w:rsid w:val="00AF6294"/>
    <w:rsid w:val="00B13712"/>
    <w:rsid w:val="00B16FD2"/>
    <w:rsid w:val="00B21488"/>
    <w:rsid w:val="00B328B5"/>
    <w:rsid w:val="00B475B6"/>
    <w:rsid w:val="00BA118C"/>
    <w:rsid w:val="00BA36A4"/>
    <w:rsid w:val="00BA3B1E"/>
    <w:rsid w:val="00BC34F8"/>
    <w:rsid w:val="00BF16F5"/>
    <w:rsid w:val="00BF3E8D"/>
    <w:rsid w:val="00C009F1"/>
    <w:rsid w:val="00C15572"/>
    <w:rsid w:val="00C63B2D"/>
    <w:rsid w:val="00C73AA3"/>
    <w:rsid w:val="00CA2DD4"/>
    <w:rsid w:val="00CB63D9"/>
    <w:rsid w:val="00CD3169"/>
    <w:rsid w:val="00CF4D0B"/>
    <w:rsid w:val="00D0267D"/>
    <w:rsid w:val="00D35AFF"/>
    <w:rsid w:val="00D472BC"/>
    <w:rsid w:val="00D73735"/>
    <w:rsid w:val="00D81FE6"/>
    <w:rsid w:val="00D92EAE"/>
    <w:rsid w:val="00DD66CB"/>
    <w:rsid w:val="00DE700D"/>
    <w:rsid w:val="00DF7143"/>
    <w:rsid w:val="00E025D2"/>
    <w:rsid w:val="00E11D42"/>
    <w:rsid w:val="00E22D1A"/>
    <w:rsid w:val="00E27006"/>
    <w:rsid w:val="00E36599"/>
    <w:rsid w:val="00E53C30"/>
    <w:rsid w:val="00E62C95"/>
    <w:rsid w:val="00E82F7E"/>
    <w:rsid w:val="00E943B0"/>
    <w:rsid w:val="00EA3B81"/>
    <w:rsid w:val="00EC2923"/>
    <w:rsid w:val="00ED5516"/>
    <w:rsid w:val="00EE2D38"/>
    <w:rsid w:val="00EE4BB9"/>
    <w:rsid w:val="00EF3003"/>
    <w:rsid w:val="00EF5EC9"/>
    <w:rsid w:val="00F13276"/>
    <w:rsid w:val="00F274C3"/>
    <w:rsid w:val="00F62046"/>
    <w:rsid w:val="00F62579"/>
    <w:rsid w:val="00FA2EF5"/>
    <w:rsid w:val="00FA515A"/>
    <w:rsid w:val="00FB00C5"/>
    <w:rsid w:val="00FC23B9"/>
    <w:rsid w:val="00FC2F03"/>
    <w:rsid w:val="00FC374C"/>
    <w:rsid w:val="00FE16F0"/>
    <w:rsid w:val="00FF11B3"/>
    <w:rsid w:val="00FF501F"/>
    <w:rsid w:val="00FF5F13"/>
    <w:rsid w:val="01D95F0B"/>
    <w:rsid w:val="02D74B40"/>
    <w:rsid w:val="039C5468"/>
    <w:rsid w:val="0BA47589"/>
    <w:rsid w:val="0C1B35D9"/>
    <w:rsid w:val="0EF5379F"/>
    <w:rsid w:val="101E0F8B"/>
    <w:rsid w:val="103A5E13"/>
    <w:rsid w:val="11081196"/>
    <w:rsid w:val="114849E0"/>
    <w:rsid w:val="12C56763"/>
    <w:rsid w:val="155618F4"/>
    <w:rsid w:val="15D86CAF"/>
    <w:rsid w:val="19C378EF"/>
    <w:rsid w:val="1DF32CC4"/>
    <w:rsid w:val="1F8C509B"/>
    <w:rsid w:val="1FB91C54"/>
    <w:rsid w:val="238D7963"/>
    <w:rsid w:val="23E66539"/>
    <w:rsid w:val="268D5392"/>
    <w:rsid w:val="27D93BAB"/>
    <w:rsid w:val="29DB1BF4"/>
    <w:rsid w:val="2AF82C9C"/>
    <w:rsid w:val="2D4A18E7"/>
    <w:rsid w:val="2D7B4196"/>
    <w:rsid w:val="2FBD34BE"/>
    <w:rsid w:val="30A6190F"/>
    <w:rsid w:val="31D77296"/>
    <w:rsid w:val="32CA49F0"/>
    <w:rsid w:val="38422BA3"/>
    <w:rsid w:val="3B516DF8"/>
    <w:rsid w:val="3B976272"/>
    <w:rsid w:val="3D5213E9"/>
    <w:rsid w:val="3E1C4CA9"/>
    <w:rsid w:val="4230143F"/>
    <w:rsid w:val="491237A9"/>
    <w:rsid w:val="4A9E0BC8"/>
    <w:rsid w:val="4B1530DD"/>
    <w:rsid w:val="4C453E95"/>
    <w:rsid w:val="501317AD"/>
    <w:rsid w:val="51346287"/>
    <w:rsid w:val="52C378C2"/>
    <w:rsid w:val="52E230D9"/>
    <w:rsid w:val="5A9543EF"/>
    <w:rsid w:val="5C7A1030"/>
    <w:rsid w:val="5F5768B8"/>
    <w:rsid w:val="66F916AD"/>
    <w:rsid w:val="67EE266A"/>
    <w:rsid w:val="69320F47"/>
    <w:rsid w:val="6B871D75"/>
    <w:rsid w:val="6D3276C6"/>
    <w:rsid w:val="6E113780"/>
    <w:rsid w:val="6F5700A7"/>
    <w:rsid w:val="6FDB4045"/>
    <w:rsid w:val="74406B6D"/>
    <w:rsid w:val="75DC0B17"/>
    <w:rsid w:val="7B721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kern w:val="0"/>
      <w:sz w:val="21"/>
      <w:szCs w:val="21"/>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link w:val="14"/>
    <w:unhideWhenUsed/>
    <w:qFormat/>
    <w:uiPriority w:val="0"/>
    <w:pPr>
      <w:ind w:firstLine="420" w:firstLineChars="100"/>
    </w:pPr>
  </w:style>
  <w:style w:type="paragraph" w:styleId="3">
    <w:name w:val="Body Text"/>
    <w:basedOn w:val="1"/>
    <w:link w:val="13"/>
    <w:semiHidden/>
    <w:unhideWhenUsed/>
    <w:qFormat/>
    <w:uiPriority w:val="99"/>
    <w:pPr>
      <w:spacing w:after="120"/>
    </w:pPr>
  </w:style>
  <w:style w:type="paragraph" w:styleId="4">
    <w:name w:val="Date"/>
    <w:basedOn w:val="1"/>
    <w:next w:val="1"/>
    <w:link w:val="12"/>
    <w:semiHidden/>
    <w:unhideWhenUsed/>
    <w:qFormat/>
    <w:uiPriority w:val="99"/>
    <w:pPr>
      <w:ind w:left="100" w:leftChars="2500"/>
    </w:pPr>
  </w:style>
  <w:style w:type="paragraph" w:styleId="5">
    <w:name w:val="footer"/>
    <w:basedOn w:val="1"/>
    <w:link w:val="11"/>
    <w:semiHidden/>
    <w:unhideWhenUsed/>
    <w:qFormat/>
    <w:uiPriority w:val="99"/>
    <w:pPr>
      <w:widowControl w:val="0"/>
      <w:tabs>
        <w:tab w:val="center" w:pos="4153"/>
        <w:tab w:val="right" w:pos="8306"/>
      </w:tabs>
      <w:kinsoku/>
      <w:autoSpaceDE/>
      <w:autoSpaceDN/>
      <w:adjustRightInd/>
      <w:textAlignment w:val="auto"/>
    </w:pPr>
    <w:rPr>
      <w:rFonts w:asciiTheme="minorHAnsi" w:hAnsiTheme="minorHAnsi" w:cstheme="minorBidi"/>
      <w:snapToGrid/>
      <w:color w:val="auto"/>
      <w:kern w:val="2"/>
      <w:sz w:val="18"/>
      <w:szCs w:val="18"/>
    </w:rPr>
  </w:style>
  <w:style w:type="paragraph" w:styleId="6">
    <w:name w:val="header"/>
    <w:basedOn w:val="1"/>
    <w:link w:val="10"/>
    <w:semiHidden/>
    <w:unhideWhenUsed/>
    <w:qFormat/>
    <w:uiPriority w:val="99"/>
    <w:pPr>
      <w:widowControl w:val="0"/>
      <w:pBdr>
        <w:bottom w:val="single" w:color="auto" w:sz="6" w:space="1"/>
      </w:pBdr>
      <w:tabs>
        <w:tab w:val="center" w:pos="4153"/>
        <w:tab w:val="right" w:pos="8306"/>
      </w:tabs>
      <w:kinsoku/>
      <w:autoSpaceDE/>
      <w:autoSpaceDN/>
      <w:adjustRightInd/>
      <w:jc w:val="center"/>
      <w:textAlignment w:val="auto"/>
    </w:pPr>
    <w:rPr>
      <w:rFonts w:asciiTheme="minorHAnsi" w:hAnsiTheme="minorHAnsi" w:cstheme="minorBidi"/>
      <w:snapToGrid/>
      <w:color w:val="auto"/>
      <w:kern w:val="2"/>
      <w:sz w:val="18"/>
      <w:szCs w:val="18"/>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0">
    <w:name w:val="页眉 Char"/>
    <w:basedOn w:val="7"/>
    <w:link w:val="6"/>
    <w:semiHidden/>
    <w:qFormat/>
    <w:uiPriority w:val="99"/>
    <w:rPr>
      <w:sz w:val="18"/>
      <w:szCs w:val="18"/>
    </w:rPr>
  </w:style>
  <w:style w:type="character" w:customStyle="1" w:styleId="11">
    <w:name w:val="页脚 Char"/>
    <w:basedOn w:val="7"/>
    <w:link w:val="5"/>
    <w:semiHidden/>
    <w:qFormat/>
    <w:uiPriority w:val="99"/>
    <w:rPr>
      <w:sz w:val="18"/>
      <w:szCs w:val="18"/>
    </w:rPr>
  </w:style>
  <w:style w:type="character" w:customStyle="1" w:styleId="12">
    <w:name w:val="日期 Char"/>
    <w:basedOn w:val="7"/>
    <w:link w:val="4"/>
    <w:semiHidden/>
    <w:qFormat/>
    <w:uiPriority w:val="99"/>
    <w:rPr>
      <w:rFonts w:ascii="Arial" w:hAnsi="Arial" w:cs="Arial"/>
      <w:snapToGrid w:val="0"/>
      <w:color w:val="000000"/>
      <w:kern w:val="0"/>
      <w:szCs w:val="21"/>
    </w:rPr>
  </w:style>
  <w:style w:type="character" w:customStyle="1" w:styleId="13">
    <w:name w:val="正文文本 Char"/>
    <w:basedOn w:val="7"/>
    <w:link w:val="3"/>
    <w:semiHidden/>
    <w:qFormat/>
    <w:uiPriority w:val="99"/>
    <w:rPr>
      <w:rFonts w:ascii="Arial" w:hAnsi="Arial" w:cs="Arial"/>
      <w:snapToGrid w:val="0"/>
      <w:color w:val="000000"/>
      <w:kern w:val="0"/>
      <w:szCs w:val="21"/>
    </w:rPr>
  </w:style>
  <w:style w:type="character" w:customStyle="1" w:styleId="14">
    <w:name w:val="正文首行缩进 Char"/>
    <w:basedOn w:val="13"/>
    <w:link w:val="2"/>
    <w:qFormat/>
    <w:uiPriority w:val="0"/>
  </w:style>
  <w:style w:type="paragraph" w:styleId="15">
    <w:name w:val="List Paragraph"/>
    <w:basedOn w:val="1"/>
    <w:qFormat/>
    <w:uiPriority w:val="34"/>
    <w:pPr>
      <w:ind w:firstLine="420" w:firstLineChars="200"/>
    </w:pPr>
  </w:style>
  <w:style w:type="paragraph" w:customStyle="1" w:styleId="16">
    <w:name w:val="_Style 15"/>
    <w:basedOn w:val="1"/>
    <w:next w:val="15"/>
    <w:qFormat/>
    <w:uiPriority w:val="34"/>
    <w:pPr>
      <w:widowControl w:val="0"/>
      <w:kinsoku/>
      <w:autoSpaceDE/>
      <w:autoSpaceDN/>
      <w:adjustRightInd/>
      <w:snapToGrid/>
      <w:ind w:firstLine="420" w:firstLineChars="200"/>
      <w:jc w:val="both"/>
      <w:textAlignment w:val="auto"/>
    </w:pPr>
    <w:rPr>
      <w:rFonts w:ascii="等线" w:hAnsi="等线" w:eastAsia="等线" w:cs="Times New Roman"/>
      <w:snapToGrid/>
      <w:color w:val="auto"/>
      <w:kern w:val="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E79A-6543-4DF6-8D2B-BFC0CD5CD0D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1448</Words>
  <Characters>1465</Characters>
  <Lines>3</Lines>
  <Paragraphs>1</Paragraphs>
  <TotalTime>3</TotalTime>
  <ScaleCrop>false</ScaleCrop>
  <LinksUpToDate>false</LinksUpToDate>
  <CharactersWithSpaces>1569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2022-07-19T05:16:00Z</dcterms:created>
  <dc:creator>齐齐哈尔医学院附属第二医院</dc:creator>
  <cp:lastModifiedBy>venus</cp:lastModifiedBy>
  <dcterms:modified xsi:type="dcterms:W3CDTF">2025-12-23T06:31:37Z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AA49D2BF293B4D51A1D7331B35938C2D_13</vt:lpwstr>
  </property>
  <property fmtid="{D5CDD505-2E9C-101B-9397-08002B2CF9AE}" pid="4" name="KSOTemplateDocerSaveRecord">
    <vt:lpwstr>eyJoZGlkIjoiNTEzOTk4MjM0NWE2YmI3ZmFiYmYzYTA4YTMyOTkwMWQiLCJ1c2VySWQiOiIxMTgyMDg4Nzk3In0=</vt:lpwstr>
  </property>
</Properties>
</file>