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ascii="宋体" w:hAnsi="宋体" w:eastAsia="宋体" w:cs="宋体"/>
          <w:b/>
          <w:bCs w:val="0"/>
          <w:snapToGrid w:val="0"/>
          <w:color w:val="000000"/>
          <w:kern w:val="0"/>
          <w:sz w:val="32"/>
          <w:szCs w:val="32"/>
          <w:lang w:val="en-US" w:eastAsia="zh-CN" w:bidi="ar-SA"/>
        </w:rPr>
      </w:pPr>
      <w:r>
        <w:rPr>
          <w:rFonts w:hint="eastAsia" w:ascii="宋体" w:hAnsi="宋体" w:eastAsia="宋体" w:cs="宋体"/>
          <w:b/>
          <w:bCs w:val="0"/>
          <w:snapToGrid w:val="0"/>
          <w:color w:val="000000"/>
          <w:kern w:val="0"/>
          <w:sz w:val="32"/>
          <w:szCs w:val="32"/>
          <w:lang w:val="en-US" w:eastAsia="zh-CN" w:bidi="ar-SA"/>
        </w:rPr>
        <w:t>齐齐哈尔医学院附属第二医院采购玻切手术显微器械需求</w:t>
      </w:r>
    </w:p>
    <w:p>
      <w:pPr>
        <w:numPr>
          <w:ilvl w:val="0"/>
          <w:numId w:val="0"/>
        </w:numPr>
        <w:ind w:firstLine="2891" w:firstLineChars="1200"/>
        <w:jc w:val="both"/>
        <w:rPr>
          <w:rFonts w:hint="default" w:ascii="仿宋" w:hAnsi="仿宋" w:eastAsia="仿宋" w:cs="仿宋"/>
          <w:b/>
          <w:sz w:val="24"/>
          <w:szCs w:val="24"/>
          <w:lang w:val="en-US"/>
        </w:rPr>
      </w:pPr>
      <w:r>
        <w:rPr>
          <w:rFonts w:hint="eastAsia" w:ascii="仿宋" w:hAnsi="仿宋" w:eastAsia="仿宋" w:cs="仿宋"/>
          <w:b/>
          <w:sz w:val="24"/>
          <w:szCs w:val="24"/>
          <w:lang w:eastAsia="zh-CN"/>
        </w:rPr>
        <w:t>项目编号</w:t>
      </w:r>
      <w:r>
        <w:rPr>
          <w:rFonts w:hint="eastAsia" w:ascii="仿宋" w:hAnsi="仿宋" w:eastAsia="仿宋" w:cs="仿宋"/>
          <w:b/>
          <w:sz w:val="24"/>
          <w:szCs w:val="24"/>
        </w:rPr>
        <w:t>：</w:t>
      </w:r>
      <w:r>
        <w:rPr>
          <w:rFonts w:hint="eastAsia" w:ascii="仿宋" w:hAnsi="仿宋" w:eastAsia="仿宋" w:cs="仿宋"/>
          <w:b/>
          <w:sz w:val="24"/>
          <w:szCs w:val="24"/>
          <w:lang w:val="en-US" w:eastAsia="zh-CN"/>
        </w:rPr>
        <w:t>QY-FSEY-2026003</w:t>
      </w:r>
    </w:p>
    <w:p>
      <w:pPr>
        <w:numPr>
          <w:ilvl w:val="0"/>
          <w:numId w:val="0"/>
        </w:numPr>
        <w:rPr>
          <w:rFonts w:hint="eastAsia" w:ascii="宋体" w:hAnsi="宋体" w:eastAsia="宋体" w:cs="宋体"/>
          <w:b/>
          <w:sz w:val="30"/>
          <w:szCs w:val="30"/>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为进一步提升我院眼科医疗服务能力，满足临床治疗需求，根据医院年度采购计划及预算安排，本着公开、公平、公正的原则，现面向社会公开采购玻切手术显微器械一批。欢迎符合资格条件的供应商前来参加。</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Chars="0" w:firstLine="562" w:firstLineChars="200"/>
        <w:jc w:val="both"/>
        <w:textAlignment w:val="baseline"/>
        <w:outlineLvl w:val="9"/>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项目概况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项目名称：</w:t>
      </w:r>
      <w:r>
        <w:rPr>
          <w:rFonts w:hint="eastAsia" w:ascii="宋体" w:hAnsi="宋体" w:eastAsia="宋体" w:cs="宋体"/>
          <w:b w:val="0"/>
          <w:bCs/>
          <w:sz w:val="28"/>
          <w:szCs w:val="28"/>
          <w:lang w:eastAsia="zh-CN"/>
        </w:rPr>
        <w:t>齐齐哈尔医学院附属第二医院</w:t>
      </w:r>
      <w:r>
        <w:rPr>
          <w:rFonts w:hint="eastAsia" w:ascii="宋体" w:hAnsi="宋体" w:eastAsia="宋体" w:cs="宋体"/>
          <w:b w:val="0"/>
          <w:bCs/>
          <w:sz w:val="28"/>
          <w:szCs w:val="28"/>
          <w:lang w:val="en-US" w:eastAsia="zh-CN"/>
        </w:rPr>
        <w:t>玻切手术显微器械采购项目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2、采购内容：玻切手术显微器械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3、采购预算：单价预算为人民币叁万元整（￥30000.00）报价超过此预算的投标将被视为无效。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设备用途：进行眼科新技术玻切手术开展四级手术所需的医疗器械，用于玻切术中视网膜手术过程中进行视网膜前膜撕除术、视网膜修复手术、视网膜黄斑裂孔修补术等有关视网膜手术操作过程中必须的眼科手术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eastAsia="zh-CN"/>
        </w:rPr>
        <w:t>二、</w:t>
      </w:r>
      <w:r>
        <w:rPr>
          <w:rFonts w:hint="eastAsia" w:ascii="宋体" w:hAnsi="宋体" w:eastAsia="宋体" w:cs="宋体"/>
          <w:b/>
          <w:bCs w:val="0"/>
          <w:color w:val="auto"/>
          <w:sz w:val="28"/>
          <w:szCs w:val="28"/>
          <w:lang w:eastAsia="zh-CN"/>
        </w:rPr>
        <w:t>供应商</w:t>
      </w:r>
      <w:r>
        <w:rPr>
          <w:rFonts w:hint="eastAsia" w:ascii="宋体" w:hAnsi="宋体" w:eastAsia="宋体" w:cs="宋体"/>
          <w:b/>
          <w:bCs w:val="0"/>
          <w:color w:val="auto"/>
          <w:sz w:val="28"/>
          <w:szCs w:val="28"/>
        </w:rPr>
        <w:t>资格要求</w:t>
      </w:r>
      <w:r>
        <w:rPr>
          <w:rFonts w:hint="eastAsia" w:ascii="宋体" w:hAnsi="宋体" w:eastAsia="宋体" w:cs="宋体"/>
          <w:b w:val="0"/>
          <w:bCs/>
          <w:color w:val="auto"/>
          <w:sz w:val="28"/>
          <w:szCs w:val="28"/>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eastAsia="zh-CN"/>
        </w:rPr>
        <w:t xml:space="preserve">1. </w:t>
      </w:r>
      <w:r>
        <w:rPr>
          <w:rFonts w:hint="eastAsia" w:ascii="宋体" w:hAnsi="宋体" w:eastAsia="宋体" w:cs="宋体"/>
          <w:b w:val="0"/>
          <w:bCs/>
          <w:color w:val="auto"/>
          <w:sz w:val="28"/>
          <w:szCs w:val="28"/>
        </w:rPr>
        <w:t>具有独立承担民事责任的能力，提供有效的营业执照（副本复印件）</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有效的</w:t>
      </w:r>
      <w:bookmarkStart w:id="0" w:name="OLE_LINK1"/>
      <w:r>
        <w:rPr>
          <w:rFonts w:hint="eastAsia" w:ascii="宋体" w:hAnsi="宋体" w:eastAsia="宋体" w:cs="宋体"/>
          <w:b w:val="0"/>
          <w:bCs/>
          <w:color w:val="auto"/>
          <w:sz w:val="28"/>
          <w:szCs w:val="28"/>
          <w:lang w:val="en-US" w:eastAsia="zh-CN"/>
        </w:rPr>
        <w:t>《医疗器械经营许可证》</w:t>
      </w:r>
      <w:bookmarkEnd w:id="0"/>
      <w:r>
        <w:rPr>
          <w:rFonts w:hint="eastAsia" w:ascii="宋体" w:hAnsi="宋体" w:eastAsia="宋体" w:cs="宋体"/>
          <w:b w:val="0"/>
          <w:bCs/>
          <w:color w:val="auto"/>
          <w:sz w:val="28"/>
          <w:szCs w:val="28"/>
          <w:lang w:val="en-US" w:eastAsia="zh-CN"/>
        </w:rPr>
        <w:t>、《第二类医疗器械经营备案凭证》。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2. 具有良好的商业信誉和健全的财务会计制度。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3. 具有履行合同所必需的设备和专业技术能力。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4. 有依法缴纳税收和社会保障资金的良好记录。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5. 参加采购活动前三年内，在经营活动中没有重大违法记录。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eastAsia="zh-CN"/>
        </w:rPr>
        <w:t>6</w:t>
      </w:r>
      <w:r>
        <w:rPr>
          <w:rFonts w:hint="eastAsia" w:ascii="宋体" w:hAnsi="宋体" w:eastAsia="宋体" w:cs="宋体"/>
          <w:b w:val="0"/>
          <w:bCs/>
          <w:color w:val="auto"/>
          <w:sz w:val="28"/>
          <w:szCs w:val="28"/>
        </w:rPr>
        <w:t>. 所投产品必须为合法注册的医疗器械，</w:t>
      </w:r>
      <w:r>
        <w:rPr>
          <w:rFonts w:hint="eastAsia" w:ascii="宋体" w:hAnsi="宋体" w:eastAsia="宋体" w:cs="宋体"/>
          <w:b w:val="0"/>
          <w:bCs/>
          <w:color w:val="auto"/>
          <w:sz w:val="28"/>
          <w:szCs w:val="28"/>
          <w:lang w:val="en-US" w:eastAsia="zh-CN"/>
        </w:rPr>
        <w:t>属第二类、第三类医疗器械须提供</w:t>
      </w:r>
      <w:r>
        <w:rPr>
          <w:rFonts w:hint="eastAsia" w:ascii="宋体" w:hAnsi="宋体" w:eastAsia="宋体" w:cs="宋体"/>
          <w:b w:val="0"/>
          <w:bCs/>
          <w:color w:val="auto"/>
          <w:sz w:val="28"/>
          <w:szCs w:val="28"/>
        </w:rPr>
        <w:t>《中华人民共和国医疗器械注册证》（复印件）</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属第一类医疗器械的须提供</w:t>
      </w:r>
      <w:r>
        <w:rPr>
          <w:rFonts w:hint="eastAsia" w:ascii="宋体" w:hAnsi="宋体" w:eastAsia="宋体" w:cs="宋体"/>
          <w:b w:val="0"/>
          <w:bCs/>
          <w:color w:val="auto"/>
          <w:sz w:val="28"/>
          <w:szCs w:val="28"/>
        </w:rPr>
        <w:t>《医疗器械备案凭证》（复印件），且产品适用范围须与本次</w:t>
      </w:r>
      <w:bookmarkStart w:id="1" w:name="_GoBack"/>
      <w:bookmarkEnd w:id="1"/>
      <w:r>
        <w:rPr>
          <w:rFonts w:hint="eastAsia" w:ascii="宋体" w:hAnsi="宋体" w:eastAsia="宋体" w:cs="宋体"/>
          <w:b w:val="0"/>
          <w:bCs/>
          <w:color w:val="auto"/>
          <w:sz w:val="28"/>
          <w:szCs w:val="28"/>
        </w:rPr>
        <w:t>采购要求相符。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color w:val="auto"/>
          <w:sz w:val="28"/>
          <w:szCs w:val="28"/>
          <w:lang w:val="en-US" w:eastAsia="zh-CN"/>
        </w:rPr>
        <w:t>7</w:t>
      </w:r>
      <w:r>
        <w:rPr>
          <w:rFonts w:hint="eastAsia" w:ascii="宋体" w:hAnsi="宋体" w:eastAsia="宋体" w:cs="宋体"/>
          <w:b w:val="0"/>
          <w:bCs/>
          <w:color w:val="auto"/>
          <w:sz w:val="28"/>
          <w:szCs w:val="28"/>
        </w:rPr>
        <w:t>. 本项目不接受联合体投标。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200"/>
        <w:jc w:val="both"/>
        <w:textAlignment w:val="baseline"/>
        <w:outlineLvl w:val="9"/>
        <w:rPr>
          <w:rFonts w:hint="eastAsia" w:ascii="宋体" w:hAnsi="宋体" w:eastAsia="宋体" w:cs="宋体"/>
          <w:b/>
          <w:bCs/>
          <w:sz w:val="28"/>
          <w:szCs w:val="28"/>
          <w:lang w:val="en-US" w:eastAsia="zh-CN"/>
        </w:rPr>
      </w:pPr>
      <w:r>
        <w:rPr>
          <w:rFonts w:hint="eastAsia" w:ascii="宋体" w:hAnsi="宋体" w:eastAsia="宋体" w:cs="宋体"/>
          <w:b w:val="0"/>
          <w:bCs/>
          <w:sz w:val="28"/>
          <w:szCs w:val="28"/>
          <w:lang w:val="en-US" w:eastAsia="zh-CN"/>
        </w:rPr>
        <w:t>三、</w:t>
      </w:r>
      <w:r>
        <w:rPr>
          <w:rFonts w:hint="eastAsia" w:ascii="宋体" w:hAnsi="宋体" w:eastAsia="宋体" w:cs="宋体"/>
          <w:b/>
          <w:bCs/>
          <w:sz w:val="28"/>
          <w:szCs w:val="28"/>
          <w:lang w:val="en-US" w:eastAsia="zh-CN"/>
        </w:rPr>
        <w:t>玻切手术显微器械</w:t>
      </w:r>
      <w:r>
        <w:rPr>
          <w:rFonts w:hint="eastAsia" w:ascii="宋体" w:hAnsi="宋体" w:eastAsia="宋体" w:cs="宋体"/>
          <w:b/>
          <w:bCs w:val="0"/>
          <w:sz w:val="28"/>
          <w:szCs w:val="28"/>
          <w:lang w:val="en-US" w:eastAsia="zh-CN"/>
        </w:rPr>
        <w:t>技术参数要求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rPr>
        <w:t>1</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眼用笛针</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：23G，头部顶端带硅胶管，钛合金手柄，针管长度35mm，全长140mm，用于眼科手术时破囊，注液，放液，冲洗等。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2</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眼用笛针</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rPr>
        <w:t>23G</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头部顶端无硅胶管，钛合金手柄，针管长度35mm，全长140mm，用于眼科手术时破囊，注液，放液，冲洗等。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rPr>
        <w:t>3</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眼内镊</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：23G内界膜型，三片式钛合金半圆手柄，针管长度35mm，全长130mm，用于夹持眼组织、眼内异物或器械。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rPr>
        <w:t>4</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眼内镊</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：23G剥离型，三片式钛合金半圆手柄，针管长度35mm，全长130mm，用于夹持眼组织、眼内异物或器械。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5</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眼内剪</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rPr>
        <w:t>：23G弯尖，三片式钛合金半圆手柄，针管长度35mm，全长130mm，用于剪切眼内组织。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6</w:t>
      </w:r>
      <w:r>
        <w:rPr>
          <w:rFonts w:hint="eastAsia" w:ascii="宋体" w:hAnsi="宋体" w:eastAsia="宋体" w:cs="宋体"/>
          <w:b w:val="0"/>
          <w:bCs/>
          <w:color w:val="auto"/>
          <w:sz w:val="28"/>
          <w:szCs w:val="28"/>
          <w:lang w:eastAsia="zh-CN"/>
        </w:rPr>
        <w:t>、眼内剪</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：23G弯剪，三片式，针管长度35mm，钛合金手柄，全长150mm，用于剪切眼内组织。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7</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 xml:space="preserve"> 膜状内障剪(囊膜剪)</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rPr>
        <w:t>：优质不锈钢，弯尖,刃长16mm一体式,全长125mm，用于剪切眼组织。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8、角膜剪1把：镀膜弯钝，不锈钢材质，刃长12mm，全长125mm，用于剪切眼内组织。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9、眼用显微持针钳1把：弯型，一体式φ7圆柄，全长120mm，用于眼部手术时夹持缝针等器械。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10、眼用显微持针钳1把：弯头,φ7圆柄，全长125mm，用于眼部手术时夹持缝针等器械。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11、消毒盒1套：耐高温双层塑料盒，带硅胶垫尺寸：265mmx162mmx50mm (超乳手柄适用)用于收纳，保护精密器械。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12、消毒盒1套：铝合金消毒盒，带硅胶垫,尺寸265mmx165mmx26mm,用于收纳，保护精密器械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四、</w:t>
      </w:r>
      <w:r>
        <w:rPr>
          <w:rFonts w:hint="eastAsia" w:ascii="宋体" w:hAnsi="宋体" w:eastAsia="宋体" w:cs="宋体"/>
          <w:b/>
          <w:bCs w:val="0"/>
          <w:sz w:val="28"/>
          <w:szCs w:val="28"/>
          <w:lang w:val="en-US" w:eastAsia="zh-CN"/>
        </w:rPr>
        <w:t>递交响应文件事宜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 文件内容： 响应文件应至少包含但不限于以下内容：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投标函、报价表（需注明设备品牌、型号、单价、总价及交货期）。</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详细的货物说明及技术参数偏离表。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供应商资格证明文件（详见第二条要求）。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医疗器械注册证/备案凭证复印件。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制造商授权书或代理证明（如适用）。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售后服务承诺书（需明确保修期限、响应时间、维修服务等内容）。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 递交形式： 纸质版文件，密封包装。</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 递交地点： 齐齐哈尔医学院附属第二医院设备科（地址：黑龙江省齐齐哈尔市建华区中华西路37号）。</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 联系人： 薛老师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 联系电话： 0452-2739708</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6. 报名截止时间：2026年03月25日— 2026年03月27日。逾期送达或未密封的响应文件将不予受理。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sz w:val="28"/>
          <w:szCs w:val="28"/>
        </w:rPr>
      </w:pPr>
      <w:r>
        <w:rPr>
          <w:rFonts w:hint="eastAsia" w:ascii="宋体" w:hAnsi="宋体" w:eastAsia="宋体" w:cs="宋体"/>
          <w:b w:val="0"/>
          <w:bCs/>
          <w:sz w:val="28"/>
          <w:szCs w:val="28"/>
          <w:lang w:val="en-US" w:eastAsia="zh-CN"/>
        </w:rPr>
        <w:t>（请注意：自本公告发布之日起，共三个工作日。请供应商自行计算并把握截止时间。）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0757AB"/>
    <w:multiLevelType w:val="singleLevel"/>
    <w:tmpl w:val="8F0757A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N2Q0ZjMwZTZiNmQzYmZlYjM2NzhlYjNkMDBlOGUifQ=="/>
  </w:docVars>
  <w:rsids>
    <w:rsidRoot w:val="00AE2308"/>
    <w:rsid w:val="00027FC2"/>
    <w:rsid w:val="00033959"/>
    <w:rsid w:val="00044BAF"/>
    <w:rsid w:val="00061EAE"/>
    <w:rsid w:val="000E5D77"/>
    <w:rsid w:val="00112F49"/>
    <w:rsid w:val="00141E6E"/>
    <w:rsid w:val="00166E03"/>
    <w:rsid w:val="00172995"/>
    <w:rsid w:val="00176AC9"/>
    <w:rsid w:val="001D3EF1"/>
    <w:rsid w:val="001F78C1"/>
    <w:rsid w:val="00217A05"/>
    <w:rsid w:val="0022358B"/>
    <w:rsid w:val="00252DB9"/>
    <w:rsid w:val="00275321"/>
    <w:rsid w:val="00277B56"/>
    <w:rsid w:val="00295202"/>
    <w:rsid w:val="002C4A89"/>
    <w:rsid w:val="002E5C6B"/>
    <w:rsid w:val="002F09D1"/>
    <w:rsid w:val="0030691B"/>
    <w:rsid w:val="00323C6B"/>
    <w:rsid w:val="00323D68"/>
    <w:rsid w:val="003267E1"/>
    <w:rsid w:val="003342DF"/>
    <w:rsid w:val="00354F31"/>
    <w:rsid w:val="003A7207"/>
    <w:rsid w:val="003A7432"/>
    <w:rsid w:val="004019ED"/>
    <w:rsid w:val="00412136"/>
    <w:rsid w:val="004146E1"/>
    <w:rsid w:val="00473593"/>
    <w:rsid w:val="00477D18"/>
    <w:rsid w:val="004C202D"/>
    <w:rsid w:val="004C3C66"/>
    <w:rsid w:val="004E268F"/>
    <w:rsid w:val="004E6D50"/>
    <w:rsid w:val="00510928"/>
    <w:rsid w:val="005E1837"/>
    <w:rsid w:val="005F57E7"/>
    <w:rsid w:val="00611A16"/>
    <w:rsid w:val="006979D1"/>
    <w:rsid w:val="006B7B63"/>
    <w:rsid w:val="006E7C43"/>
    <w:rsid w:val="00727141"/>
    <w:rsid w:val="007877B7"/>
    <w:rsid w:val="007C5A69"/>
    <w:rsid w:val="007F042E"/>
    <w:rsid w:val="007F6F9B"/>
    <w:rsid w:val="00833E32"/>
    <w:rsid w:val="00851D01"/>
    <w:rsid w:val="0085678C"/>
    <w:rsid w:val="00865D40"/>
    <w:rsid w:val="0087089D"/>
    <w:rsid w:val="00872A4C"/>
    <w:rsid w:val="00880FE8"/>
    <w:rsid w:val="008E7A4C"/>
    <w:rsid w:val="00906255"/>
    <w:rsid w:val="00915F6E"/>
    <w:rsid w:val="0094770A"/>
    <w:rsid w:val="00953BD3"/>
    <w:rsid w:val="009A3FB2"/>
    <w:rsid w:val="009B1CFC"/>
    <w:rsid w:val="009C22DC"/>
    <w:rsid w:val="009C4779"/>
    <w:rsid w:val="009D4260"/>
    <w:rsid w:val="009D6465"/>
    <w:rsid w:val="009D7C19"/>
    <w:rsid w:val="00A450A5"/>
    <w:rsid w:val="00A63764"/>
    <w:rsid w:val="00A71F40"/>
    <w:rsid w:val="00AD40E7"/>
    <w:rsid w:val="00AE2308"/>
    <w:rsid w:val="00AF6294"/>
    <w:rsid w:val="00B13712"/>
    <w:rsid w:val="00B16FD2"/>
    <w:rsid w:val="00B21488"/>
    <w:rsid w:val="00B328B5"/>
    <w:rsid w:val="00B475B6"/>
    <w:rsid w:val="00BA118C"/>
    <w:rsid w:val="00BA36A4"/>
    <w:rsid w:val="00BA3B1E"/>
    <w:rsid w:val="00BC34F8"/>
    <w:rsid w:val="00BF16F5"/>
    <w:rsid w:val="00BF3E8D"/>
    <w:rsid w:val="00C009F1"/>
    <w:rsid w:val="00C15572"/>
    <w:rsid w:val="00C63B2D"/>
    <w:rsid w:val="00C73AA3"/>
    <w:rsid w:val="00CA2DD4"/>
    <w:rsid w:val="00CB63D9"/>
    <w:rsid w:val="00CD3169"/>
    <w:rsid w:val="00CF4D0B"/>
    <w:rsid w:val="00D0267D"/>
    <w:rsid w:val="00D35AFF"/>
    <w:rsid w:val="00D472BC"/>
    <w:rsid w:val="00D73735"/>
    <w:rsid w:val="00D81FE6"/>
    <w:rsid w:val="00D92EAE"/>
    <w:rsid w:val="00DD66CB"/>
    <w:rsid w:val="00DE700D"/>
    <w:rsid w:val="00DF7143"/>
    <w:rsid w:val="00E025D2"/>
    <w:rsid w:val="00E11D42"/>
    <w:rsid w:val="00E22D1A"/>
    <w:rsid w:val="00E27006"/>
    <w:rsid w:val="00E36599"/>
    <w:rsid w:val="00E53C30"/>
    <w:rsid w:val="00E62C95"/>
    <w:rsid w:val="00E82F7E"/>
    <w:rsid w:val="00E943B0"/>
    <w:rsid w:val="00EA3B81"/>
    <w:rsid w:val="00EC2923"/>
    <w:rsid w:val="00ED5516"/>
    <w:rsid w:val="00EE2D38"/>
    <w:rsid w:val="00EE4BB9"/>
    <w:rsid w:val="00EF3003"/>
    <w:rsid w:val="00EF5EC9"/>
    <w:rsid w:val="00F13276"/>
    <w:rsid w:val="00F274C3"/>
    <w:rsid w:val="00F62046"/>
    <w:rsid w:val="00F62579"/>
    <w:rsid w:val="00FA2EF5"/>
    <w:rsid w:val="00FA515A"/>
    <w:rsid w:val="00FB00C5"/>
    <w:rsid w:val="00FC23B9"/>
    <w:rsid w:val="00FC2F03"/>
    <w:rsid w:val="00FC374C"/>
    <w:rsid w:val="00FE16F0"/>
    <w:rsid w:val="00FF11B3"/>
    <w:rsid w:val="00FF501F"/>
    <w:rsid w:val="00FF5F13"/>
    <w:rsid w:val="01545A05"/>
    <w:rsid w:val="037C4C7A"/>
    <w:rsid w:val="053022E6"/>
    <w:rsid w:val="071D341F"/>
    <w:rsid w:val="08C361AD"/>
    <w:rsid w:val="0AAA44EB"/>
    <w:rsid w:val="0AE32D39"/>
    <w:rsid w:val="0F58067D"/>
    <w:rsid w:val="11CB5870"/>
    <w:rsid w:val="12AF6F40"/>
    <w:rsid w:val="141E77D0"/>
    <w:rsid w:val="154A1BC4"/>
    <w:rsid w:val="16856EBF"/>
    <w:rsid w:val="168E3310"/>
    <w:rsid w:val="17AD2E69"/>
    <w:rsid w:val="1B3F747F"/>
    <w:rsid w:val="1B6B56F3"/>
    <w:rsid w:val="1DB200ED"/>
    <w:rsid w:val="1E471829"/>
    <w:rsid w:val="1F37773D"/>
    <w:rsid w:val="1F8C509B"/>
    <w:rsid w:val="1FBB64FE"/>
    <w:rsid w:val="23376F35"/>
    <w:rsid w:val="238D7963"/>
    <w:rsid w:val="25E60A73"/>
    <w:rsid w:val="26347A30"/>
    <w:rsid w:val="29B2695E"/>
    <w:rsid w:val="2B4F33BF"/>
    <w:rsid w:val="2D1F3694"/>
    <w:rsid w:val="2DA6689C"/>
    <w:rsid w:val="2E70413C"/>
    <w:rsid w:val="307750E9"/>
    <w:rsid w:val="31577631"/>
    <w:rsid w:val="32A02EE2"/>
    <w:rsid w:val="34572B3B"/>
    <w:rsid w:val="39A369DF"/>
    <w:rsid w:val="3BDB43B4"/>
    <w:rsid w:val="3CB36300"/>
    <w:rsid w:val="3E5F0F6A"/>
    <w:rsid w:val="40D63A95"/>
    <w:rsid w:val="42D56468"/>
    <w:rsid w:val="44C320C7"/>
    <w:rsid w:val="45FE6B4F"/>
    <w:rsid w:val="48BD520B"/>
    <w:rsid w:val="49260292"/>
    <w:rsid w:val="49A6734F"/>
    <w:rsid w:val="49EF7646"/>
    <w:rsid w:val="4A5E507D"/>
    <w:rsid w:val="4C21598D"/>
    <w:rsid w:val="4CCB22A4"/>
    <w:rsid w:val="4EAC2029"/>
    <w:rsid w:val="4EF83CA4"/>
    <w:rsid w:val="51E93115"/>
    <w:rsid w:val="53BB6CED"/>
    <w:rsid w:val="549635BC"/>
    <w:rsid w:val="54C85664"/>
    <w:rsid w:val="56050246"/>
    <w:rsid w:val="58EE3776"/>
    <w:rsid w:val="59FE19B7"/>
    <w:rsid w:val="5A983AE7"/>
    <w:rsid w:val="5B1A2FA8"/>
    <w:rsid w:val="5BFE6BF0"/>
    <w:rsid w:val="5CB42396"/>
    <w:rsid w:val="5D003399"/>
    <w:rsid w:val="5F5768B8"/>
    <w:rsid w:val="60EA408F"/>
    <w:rsid w:val="617050B9"/>
    <w:rsid w:val="628C0BDB"/>
    <w:rsid w:val="67177D85"/>
    <w:rsid w:val="67BB5FD2"/>
    <w:rsid w:val="6874548F"/>
    <w:rsid w:val="68AE414D"/>
    <w:rsid w:val="68EF0FB9"/>
    <w:rsid w:val="69E738A9"/>
    <w:rsid w:val="6C8663A9"/>
    <w:rsid w:val="6CAB51F7"/>
    <w:rsid w:val="6D1C60F5"/>
    <w:rsid w:val="6EA62AEE"/>
    <w:rsid w:val="7069422B"/>
    <w:rsid w:val="70B0050A"/>
    <w:rsid w:val="712F47EA"/>
    <w:rsid w:val="73E72559"/>
    <w:rsid w:val="7416458D"/>
    <w:rsid w:val="750758DC"/>
    <w:rsid w:val="77B619E9"/>
    <w:rsid w:val="784D7AAA"/>
    <w:rsid w:val="7933761A"/>
    <w:rsid w:val="79C913B2"/>
    <w:rsid w:val="7ADA50D0"/>
    <w:rsid w:val="7C5425CC"/>
    <w:rsid w:val="7C6C4774"/>
    <w:rsid w:val="7F942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99" w:semiHidden="0"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kern w:val="0"/>
      <w:sz w:val="21"/>
      <w:szCs w:val="21"/>
      <w:lang w:val="en-US" w:eastAsia="zh-CN" w:bidi="ar-SA"/>
    </w:rPr>
  </w:style>
  <w:style w:type="character" w:default="1" w:styleId="12">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link w:val="19"/>
    <w:unhideWhenUsed/>
    <w:qFormat/>
    <w:uiPriority w:val="0"/>
    <w:pPr>
      <w:ind w:firstLine="420" w:firstLineChars="100"/>
    </w:pPr>
  </w:style>
  <w:style w:type="paragraph" w:styleId="3">
    <w:name w:val="Body Text"/>
    <w:basedOn w:val="1"/>
    <w:link w:val="18"/>
    <w:semiHidden/>
    <w:unhideWhenUsed/>
    <w:qFormat/>
    <w:uiPriority w:val="99"/>
    <w:pPr>
      <w:spacing w:after="120"/>
    </w:pPr>
  </w:style>
  <w:style w:type="paragraph" w:styleId="4">
    <w:name w:val="Body Text Indent"/>
    <w:basedOn w:val="1"/>
    <w:qFormat/>
    <w:uiPriority w:val="0"/>
    <w:pPr>
      <w:spacing w:after="120" w:afterLines="0"/>
      <w:ind w:left="420" w:leftChars="200"/>
    </w:pPr>
  </w:style>
  <w:style w:type="paragraph" w:styleId="5">
    <w:name w:val="Date"/>
    <w:basedOn w:val="1"/>
    <w:next w:val="1"/>
    <w:link w:val="17"/>
    <w:semiHidden/>
    <w:unhideWhenUsed/>
    <w:qFormat/>
    <w:uiPriority w:val="99"/>
    <w:pPr>
      <w:ind w:left="100" w:leftChars="2500"/>
    </w:pPr>
  </w:style>
  <w:style w:type="paragraph" w:styleId="6">
    <w:name w:val="footer"/>
    <w:basedOn w:val="1"/>
    <w:link w:val="16"/>
    <w:semiHidden/>
    <w:unhideWhenUsed/>
    <w:qFormat/>
    <w:uiPriority w:val="99"/>
    <w:pPr>
      <w:widowControl w:val="0"/>
      <w:tabs>
        <w:tab w:val="center" w:pos="4153"/>
        <w:tab w:val="right" w:pos="8306"/>
      </w:tabs>
      <w:kinsoku/>
      <w:autoSpaceDE/>
      <w:autoSpaceDN/>
      <w:adjustRightInd/>
      <w:textAlignment w:val="auto"/>
    </w:pPr>
    <w:rPr>
      <w:rFonts w:asciiTheme="minorHAnsi" w:hAnsiTheme="minorHAnsi" w:cstheme="minorBidi"/>
      <w:snapToGrid/>
      <w:color w:val="auto"/>
      <w:kern w:val="2"/>
      <w:sz w:val="18"/>
      <w:szCs w:val="18"/>
    </w:rPr>
  </w:style>
  <w:style w:type="paragraph" w:styleId="7">
    <w:name w:val="Body Text First Indent 2"/>
    <w:basedOn w:val="4"/>
    <w:qFormat/>
    <w:uiPriority w:val="0"/>
    <w:pPr>
      <w:ind w:firstLine="420" w:firstLineChars="200"/>
    </w:pPr>
  </w:style>
  <w:style w:type="paragraph" w:styleId="8">
    <w:name w:val="header"/>
    <w:basedOn w:val="1"/>
    <w:link w:val="15"/>
    <w:semiHidden/>
    <w:unhideWhenUsed/>
    <w:qFormat/>
    <w:uiPriority w:val="99"/>
    <w:pPr>
      <w:widowControl w:val="0"/>
      <w:pBdr>
        <w:bottom w:val="single" w:color="auto" w:sz="6" w:space="1"/>
      </w:pBdr>
      <w:tabs>
        <w:tab w:val="center" w:pos="4153"/>
        <w:tab w:val="right" w:pos="8306"/>
      </w:tabs>
      <w:kinsoku/>
      <w:autoSpaceDE/>
      <w:autoSpaceDN/>
      <w:adjustRightInd/>
      <w:jc w:val="center"/>
      <w:textAlignment w:val="auto"/>
    </w:pPr>
    <w:rPr>
      <w:rFonts w:asciiTheme="minorHAnsi" w:hAnsiTheme="minorHAnsi" w:cstheme="minorBidi"/>
      <w:snapToGrid/>
      <w:color w:val="auto"/>
      <w:kern w:val="2"/>
      <w:sz w:val="18"/>
      <w:szCs w:val="18"/>
    </w:rPr>
  </w:style>
  <w:style w:type="paragraph" w:styleId="9">
    <w:name w:val="toc 9"/>
    <w:basedOn w:val="1"/>
    <w:next w:val="1"/>
    <w:qFormat/>
    <w:uiPriority w:val="99"/>
    <w:pPr>
      <w:ind w:left="3360" w:leftChars="1600"/>
    </w:pPr>
  </w:style>
  <w:style w:type="paragraph" w:styleId="10">
    <w:name w:val="Body Text 2"/>
    <w:basedOn w:val="1"/>
    <w:qFormat/>
    <w:uiPriority w:val="0"/>
    <w:pPr>
      <w:spacing w:after="120" w:line="480" w:lineRule="auto"/>
    </w:pPr>
    <w:rPr>
      <w:rFonts w:eastAsia="宋体"/>
      <w:kern w:val="0"/>
      <w:sz w:val="20"/>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6"/>
    <w:semiHidden/>
    <w:qFormat/>
    <w:uiPriority w:val="99"/>
    <w:rPr>
      <w:sz w:val="18"/>
      <w:szCs w:val="18"/>
    </w:rPr>
  </w:style>
  <w:style w:type="character" w:customStyle="1" w:styleId="17">
    <w:name w:val="日期 Char"/>
    <w:basedOn w:val="12"/>
    <w:link w:val="5"/>
    <w:semiHidden/>
    <w:qFormat/>
    <w:uiPriority w:val="99"/>
    <w:rPr>
      <w:rFonts w:ascii="Arial" w:hAnsi="Arial" w:cs="Arial"/>
      <w:snapToGrid w:val="0"/>
      <w:color w:val="000000"/>
      <w:kern w:val="0"/>
      <w:szCs w:val="21"/>
    </w:rPr>
  </w:style>
  <w:style w:type="character" w:customStyle="1" w:styleId="18">
    <w:name w:val="正文文本 Char"/>
    <w:basedOn w:val="12"/>
    <w:link w:val="3"/>
    <w:semiHidden/>
    <w:qFormat/>
    <w:uiPriority w:val="99"/>
    <w:rPr>
      <w:rFonts w:ascii="Arial" w:hAnsi="Arial" w:cs="Arial"/>
      <w:snapToGrid w:val="0"/>
      <w:color w:val="000000"/>
      <w:kern w:val="0"/>
      <w:szCs w:val="21"/>
    </w:rPr>
  </w:style>
  <w:style w:type="character" w:customStyle="1" w:styleId="19">
    <w:name w:val="正文首行缩进 Char"/>
    <w:basedOn w:val="18"/>
    <w:link w:val="2"/>
    <w:qFormat/>
    <w:uiPriority w:val="0"/>
  </w:style>
  <w:style w:type="paragraph" w:styleId="20">
    <w:name w:val="List Paragraph"/>
    <w:basedOn w:val="1"/>
    <w:qFormat/>
    <w:uiPriority w:val="34"/>
    <w:pPr>
      <w:ind w:firstLine="420" w:firstLineChars="200"/>
    </w:pPr>
  </w:style>
  <w:style w:type="paragraph" w:customStyle="1" w:styleId="21">
    <w:name w:val="_Style 15"/>
    <w:basedOn w:val="1"/>
    <w:next w:val="20"/>
    <w:qFormat/>
    <w:uiPriority w:val="34"/>
    <w:pPr>
      <w:widowControl w:val="0"/>
      <w:kinsoku/>
      <w:autoSpaceDE/>
      <w:autoSpaceDN/>
      <w:adjustRightInd/>
      <w:snapToGrid/>
      <w:ind w:firstLine="420" w:firstLineChars="200"/>
      <w:jc w:val="both"/>
      <w:textAlignment w:val="auto"/>
    </w:pPr>
    <w:rPr>
      <w:rFonts w:ascii="等线" w:hAnsi="等线" w:eastAsia="等线" w:cs="Times New Roman"/>
      <w:snapToGrid/>
      <w:color w:val="auto"/>
      <w:kern w:val="2"/>
      <w:szCs w:val="22"/>
    </w:rPr>
  </w:style>
  <w:style w:type="paragraph" w:customStyle="1" w:styleId="22">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
    <w:name w:val="列出段落1"/>
    <w:basedOn w:val="1"/>
    <w:qFormat/>
    <w:uiPriority w:val="34"/>
    <w:pPr>
      <w:ind w:firstLine="420" w:firstLineChars="200"/>
    </w:pPr>
  </w:style>
  <w:style w:type="paragraph" w:customStyle="1" w:styleId="24">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_Style 1"/>
    <w:basedOn w:val="1"/>
    <w:qFormat/>
    <w:uiPriority w:val="34"/>
    <w:pPr>
      <w:ind w:firstLine="420" w:firstLine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E79A-6543-4DF6-8D2B-BFC0CD5CD0D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1077</Words>
  <Characters>1185</Characters>
  <Lines>3</Lines>
  <Paragraphs>1</Paragraphs>
  <TotalTime>2</TotalTime>
  <ScaleCrop>false</ScaleCrop>
  <LinksUpToDate>false</LinksUpToDate>
  <CharactersWithSpaces>1268</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2022-07-19T05:16:00Z</dcterms:created>
  <dc:creator>齐齐哈尔医学院附属第二医院</dc:creator>
  <cp:lastModifiedBy>venus</cp:lastModifiedBy>
  <dcterms:modified xsi:type="dcterms:W3CDTF">2026-03-24T03:05:59Z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416D8A74FB7C48F79C115F5DC9E015B7_13</vt:lpwstr>
  </property>
  <property fmtid="{D5CDD505-2E9C-101B-9397-08002B2CF9AE}" pid="4" name="KSOTemplateDocerSaveRecord">
    <vt:lpwstr>eyJoZGlkIjoiZmE0N2Q0ZjMwZTZiNmQzYmZlYjM2NzhlYjNkMDBlOGUiLCJ1c2VySWQiOiI3MzU3ODU0MDEifQ==</vt:lpwstr>
  </property>
</Properties>
</file>