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94F67"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kern w:val="0"/>
          <w:sz w:val="32"/>
          <w:szCs w:val="32"/>
        </w:rPr>
        <w:t>齐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齐哈尔医学院附属第二医院</w:t>
      </w:r>
    </w:p>
    <w:p w14:paraId="509E2E38">
      <w:pPr>
        <w:widowControl/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采购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危险废物安全处置服务</w:t>
      </w:r>
      <w:r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32"/>
          <w:szCs w:val="32"/>
          <w:lang w:val="en-US" w:eastAsia="zh-CN" w:bidi="ar-SA"/>
        </w:rPr>
        <w:t>需求</w:t>
      </w:r>
    </w:p>
    <w:p w14:paraId="55677F2C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FFFFFF" w:themeColor="background1"/>
          <w:sz w:val="24"/>
          <w:szCs w:val="24"/>
          <w:highlight w:val="none"/>
          <w:lang w:val="en-US"/>
          <w14:textFill>
            <w14:solidFill>
              <w14:schemeClr w14:val="bg1"/>
            </w14:solidFill>
          </w14:textFill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项目编号：QY-FSEY-2026012</w:t>
      </w:r>
    </w:p>
    <w:p w14:paraId="5F976DA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textAlignment w:val="baseline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一、项目概况</w:t>
      </w:r>
    </w:p>
    <w:p w14:paraId="0287606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.项目名称：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  <w:lang w:val="en-US" w:eastAsia="zh-CN"/>
        </w:rPr>
        <w:t>全院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危险废物安全处置服务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项目</w:t>
      </w:r>
    </w:p>
    <w:p w14:paraId="2A3DCB0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2.采购内容：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危险废物安全处置服务</w:t>
      </w:r>
    </w:p>
    <w:p w14:paraId="3181051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3.采购预算：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  <w:lang w:val="en-US" w:eastAsia="zh-CN"/>
        </w:rPr>
        <w:t>3.74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万元（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  <w:lang w:val="en-US" w:eastAsia="zh-CN"/>
        </w:rPr>
        <w:t>叁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万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  <w:lang w:val="en-US" w:eastAsia="zh-CN"/>
        </w:rPr>
        <w:t>柒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仟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  <w:lang w:val="en-US" w:eastAsia="zh-CN"/>
        </w:rPr>
        <w:t>肆</w:t>
      </w:r>
      <w:r>
        <w:rPr>
          <w:rFonts w:hint="eastAsia" w:ascii="宋体" w:hAnsi="宋体" w:eastAsia="宋体" w:cs="宋体"/>
          <w:b w:val="0"/>
          <w:bCs/>
          <w:snapToGrid w:val="0"/>
          <w:color w:val="000000"/>
          <w:kern w:val="0"/>
          <w:sz w:val="24"/>
          <w:szCs w:val="24"/>
        </w:rPr>
        <w:t>佰元整），报价超过此预算的投标将被视为无效。</w:t>
      </w:r>
    </w:p>
    <w:p w14:paraId="7D24E133">
      <w:pPr>
        <w:rPr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二、服务期限</w:t>
      </w:r>
    </w:p>
    <w:p w14:paraId="4F6529EB">
      <w:pPr>
        <w:ind w:firstLine="480" w:firstLineChars="2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合同签订及续签要求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本项目服务期限采用1+1+1方式，采购结果3年有效。即：通过第一年年度考核，达到项目服务要求的，可采取续约方式签订采购合同，如年度考核不合格，取消服务资格。</w:t>
      </w:r>
    </w:p>
    <w:p w14:paraId="13D3807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both"/>
        <w:textAlignment w:val="baseline"/>
        <w:outlineLvl w:val="9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、供应商资格要求</w:t>
      </w:r>
    </w:p>
    <w:p w14:paraId="46CBF3D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（一）主体资格</w:t>
      </w:r>
    </w:p>
    <w:p w14:paraId="3B169BE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1.投标人须为中华人民共和国境内依法注册、独立法人企业，提供有效期内营业执照，经营范围包含危险废物处置/回收相关业务。</w:t>
      </w:r>
    </w:p>
    <w:p w14:paraId="66D75A7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2.符合政府采购法第二十二条规定，具备健全财务制度，提供近3个月依法缴纳税收、社会保障资金相关凭证。</w:t>
      </w:r>
    </w:p>
    <w:p w14:paraId="01E99C0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3.信用要求：未被“信用中国”列入失信被执行人、重大税收违法失信主体；未在中国政府采购网列入政府采购严重违法失信名单；近3年无重大环保行政处罚、无重大安全污染事故，无危废经营资质被暂扣、吊销记录，须提供书面信用承诺函。</w:t>
      </w:r>
    </w:p>
    <w:p w14:paraId="5AD8711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4.本项目不接受联合体投标，成交后严禁分包、转包，严禁将本院危废转交无资质第三方处置。</w:t>
      </w:r>
    </w:p>
    <w:p w14:paraId="226A569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5.单位负责人为同一人或者存在直接控股、管理关系的不同供应商，不得同时参与本项目投标。</w:t>
      </w:r>
    </w:p>
    <w:p w14:paraId="45588C6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（二）危废专项核心资质</w:t>
      </w:r>
    </w:p>
    <w:p w14:paraId="5937544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1.持有生态环境部门核发且在有效期内的《危险废物经营许可证》，许可范围包含收集、贮存、处置，核准类别覆盖HW03废药物、HW49沾染性化学废物、实验室废有机溶剂、废矿物油等本院全部危废品类，不得超许可范围开展经营活动。</w:t>
      </w:r>
    </w:p>
    <w:p w14:paraId="1D4BCE1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2.运输配套资质：自有或合作承运单位具备有效《道路运输经营许可证》，许可范围含危险货物道路运输；危运车辆、驾驶员、押运员全部持证上岗，运输车辆投保危险货物第三者责任险保额不低于1000万元。</w:t>
      </w:r>
    </w:p>
    <w:p w14:paraId="5FD968D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3.具备有效安全生产许可证；编制完成危险废物突发环境事件应急预案并完成主管部门备案，配备专职安全与应急管理人员。</w:t>
      </w:r>
    </w:p>
    <w:p w14:paraId="446748A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（三）人员及业绩要求</w:t>
      </w:r>
    </w:p>
    <w:p w14:paraId="6CC43E9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1.项目负责人、现场收运作业人员持有危废安全操作培训合格证明，熟悉医疗机构、高校实验室危废管理规范、危废转移联单线上申报流程，拥有1年及以上同类项目实操经验。</w:t>
      </w:r>
    </w:p>
    <w:p w14:paraId="4F6560C9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2.近1年内至少提供1家医疗机构或高校实验室危险废物处置同类业绩，须提供合同关键页、项目验收证明作为佐证材料。</w:t>
      </w:r>
    </w:p>
    <w:p w14:paraId="0193B46A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3.作业人员统一配备耐酸碱防护服、护目镜、防毒面具、防腐手套等全套合规劳保防护用品。</w:t>
      </w:r>
    </w:p>
    <w:p w14:paraId="11E7C663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采购需求：</w:t>
      </w:r>
    </w:p>
    <w:p w14:paraId="001B4151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（一）法律法规及处置标准</w:t>
      </w:r>
    </w:p>
    <w:p w14:paraId="2D2C6977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乙方所有作业、处置工作严格遵循《中华人民共和国民法典》《中华人民共和国固体废物污染环境防治法》《危险废物转移管理办法》《国家危险废物名录》《危险废物经营许可证管理办法》及《齐齐哈尔医学院危险化学品和危险废物管理办法（修订）》等相关规定，采用无害化处置、综合利用工艺，全过程可追溯，满足环保核查、医院内审、评审资料归档要求。</w:t>
      </w:r>
    </w:p>
    <w:p w14:paraId="7D6005A9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危废分类收集、包装配套服务</w:t>
      </w:r>
    </w:p>
    <w:p w14:paraId="0CFFDE5D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1.乙方免费提供国标危废专用包装：耐腐蚀废液桶、密封编织袋、锐器收集盒、标准危废标签；液体危废容器顶部预留100mm以上安全空间，单桶容量不超过230L，严禁不相容危险废物混装。</w:t>
      </w:r>
    </w:p>
    <w:p w14:paraId="3BE5608A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2.指导各实验室规范分类存放危废，包装物粘贴完整标签，标注废物名称、成分、危险类别、产生单位、应急联系方式；无标签、品类不明、混装危废乙方有权拒收，由此产生的全部责任与费用由甲方承担。</w:t>
      </w:r>
    </w:p>
    <w:p w14:paraId="57743A74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（三）上门转运收运服务要求</w:t>
      </w:r>
    </w:p>
    <w:p w14:paraId="4E943F08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1.甲方提交危废转移通知后，乙方须在15个自然日内安排合规危运车辆上门收运；出现暂存饱和、泄漏风险等紧急清运需求，48小时内到场处置。</w:t>
      </w:r>
    </w:p>
    <w:p w14:paraId="22FDC3BB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2.收运现场核对实物、台账、转移联单信息，规范称重；甲方无计量条件则就近合规称重，同步填写纸质、电子危险废物转移联单，完成全国固废管理平台线上转移申报。</w:t>
      </w:r>
    </w:p>
    <w:p w14:paraId="4803D033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3.转运全程落实防扬散、防流失、防渗漏措施，作业做到污泥废液不落地；收运完成后清理现场，消除残留污染，保持院区环境整洁。</w:t>
      </w:r>
    </w:p>
    <w:p w14:paraId="54389081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4.运输途中发生泄漏、遗撒、交通事故，乙方2小时内到场开展应急处置，承担全部清理、赔偿、行政处罚及法律责任。</w:t>
      </w:r>
    </w:p>
    <w:p w14:paraId="1E4C86B9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（四）无害化处置与台账资料交付</w:t>
      </w:r>
    </w:p>
    <w:p w14:paraId="562E7F92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1.所有危废运送至自有持证厂区开展合规无害化处置，不得委托无资质第三方处置。</w:t>
      </w:r>
    </w:p>
    <w:p w14:paraId="55187FA7">
      <w:pPr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每批次收运同步交付转移联单、称重记录、车辆运输单据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1A02DA28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3.服务期满15日内，出具全年全部危废无害化处置证明及全套年度环保归档资料，配合生态环境部门现场核查工作。</w:t>
      </w:r>
    </w:p>
    <w:p w14:paraId="36FB98FC">
      <w:pPr>
        <w:numPr>
          <w:ilvl w:val="0"/>
          <w:numId w:val="0"/>
        </w:num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（五）现场安全管理要求</w:t>
      </w:r>
    </w:p>
    <w:p w14:paraId="1D10B3F9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1.乙方作业人员进入院区需遵守医院安全管理规定，未穿戴完整劳保防护用品禁止操作。</w:t>
      </w:r>
    </w:p>
    <w:p w14:paraId="1AECF395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2.作业现场发生人身伤害、环境污染事故，全部赔偿、处罚、法律责任由乙方承担，甲方不承担连带责任。</w:t>
      </w:r>
    </w:p>
    <w:p w14:paraId="37030836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（六）验收考核及违约扣款</w:t>
      </w:r>
    </w:p>
    <w:p w14:paraId="2DB2868E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1.清运时效：接到清运通知逾期</w:t>
      </w:r>
      <w:bookmarkStart w:id="0" w:name="_GoBack"/>
      <w:r>
        <w:rPr>
          <w:rFonts w:hint="eastAsia" w:ascii="宋体" w:hAnsi="宋体" w:cs="宋体"/>
          <w:sz w:val="24"/>
          <w:szCs w:val="24"/>
          <w:lang w:eastAsia="zh-CN"/>
        </w:rPr>
        <w:t>未</w:t>
      </w:r>
      <w:bookmarkEnd w:id="0"/>
      <w:r>
        <w:rPr>
          <w:rFonts w:hint="eastAsia" w:ascii="宋体" w:hAnsi="宋体" w:eastAsia="宋体" w:cs="宋体"/>
          <w:sz w:val="24"/>
          <w:szCs w:val="24"/>
        </w:rPr>
        <w:t>上门单次扣款200元；逾期超7日，额外承担危废超期暂存全部风险与整改费用。</w:t>
      </w:r>
    </w:p>
    <w:p w14:paraId="00E68AA0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</w:t>
      </w:r>
      <w:r>
        <w:rPr>
          <w:rFonts w:hint="eastAsia" w:ascii="宋体" w:hAnsi="宋体" w:eastAsia="宋体" w:cs="宋体"/>
          <w:sz w:val="24"/>
          <w:szCs w:val="24"/>
        </w:rPr>
        <w:t>现场作业：包装破损、混装混运、现场残留污染未及时清理，经提醒未当场整改单次扣款200元；造成场地、设备损坏的，乙方全额赔偿修复费用。</w:t>
      </w:r>
    </w:p>
    <w:p w14:paraId="556CAF18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3.台账资料：未按时提交联单、月度台账、年度处置证明，每逾期3日扣款100元；资料缺失、虚假填报导致甲方被环保处罚，全部罚款由乙方承担并负责消除不良记录。</w:t>
      </w:r>
    </w:p>
    <w:p w14:paraId="0260BB32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4.资质与转包：乙方超资质处置、转包危废、非法处置，甲方可单方解除合同，扣除全部未支付服务费，乙方按合同预估总价支付违约金，并承担全部法律责任。</w:t>
      </w:r>
    </w:p>
    <w:p w14:paraId="69BE1127"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5.安全事故：乙方违规作业引发安全、污染事故，全额赔偿损失，甲方立即终止合作并永久取消投标资格。</w:t>
      </w:r>
    </w:p>
    <w:p w14:paraId="477CAB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20" w:lineRule="atLeast"/>
        <w:textAlignment w:val="baseline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、递交响应文件事宜</w:t>
      </w:r>
    </w:p>
    <w:p w14:paraId="39E84D6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.文件内容：响应文件应至少包含但不限于以下内容</w:t>
      </w:r>
    </w:p>
    <w:p w14:paraId="5F627FB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​    ·报价表（注明含税总价、服务内容、服务方案）</w:t>
      </w:r>
    </w:p>
    <w:p w14:paraId="4667611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​    ·供应商资格证明文件</w:t>
      </w:r>
    </w:p>
    <w:p w14:paraId="74E7C29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​    ·售后服务承诺书（明确服务频次、响应时间、质量保障、安全责任等）</w:t>
      </w:r>
    </w:p>
    <w:p w14:paraId="6F6EECB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2.递交形式：纸质版文件，密封包装</w:t>
      </w:r>
    </w:p>
    <w:p w14:paraId="1341B2F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3.递交地点：附属第二医院总务科（地址：黑龙江省齐齐哈尔市建华区中华西路37号）</w:t>
      </w:r>
    </w:p>
    <w:p w14:paraId="38807C3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4.联系人：赵东坤</w:t>
      </w:r>
    </w:p>
    <w:p w14:paraId="4256C9B1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5.联系电话：18646632035</w:t>
      </w:r>
    </w:p>
    <w:p w14:paraId="7FAFF14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6.报名截止时间：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日 —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2026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日，逾期送达或未密封的响应文件将不予受理。</w:t>
      </w:r>
    </w:p>
    <w:p w14:paraId="2A098D9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（请注意：自本公告发布之日起，共三个工作日。请供应商自行计算并把握截止时间。）</w:t>
      </w:r>
    </w:p>
    <w:p w14:paraId="04C7CAC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ind w:leftChars="0" w:firstLine="480" w:firstLineChars="200"/>
        <w:jc w:val="both"/>
        <w:textAlignment w:val="baseline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8161CBE"/>
    <w:rsid w:val="0B410520"/>
    <w:rsid w:val="17705821"/>
    <w:rsid w:val="1BAC0B7F"/>
    <w:rsid w:val="1D56727F"/>
    <w:rsid w:val="2946603C"/>
    <w:rsid w:val="29F54962"/>
    <w:rsid w:val="56353EA7"/>
    <w:rsid w:val="6D8A092C"/>
    <w:rsid w:val="73982CCB"/>
    <w:rsid w:val="757D58CF"/>
    <w:rsid w:val="75BC11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f499151b-75d8-45d1-b805-2ae3eff99c20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4F6529EB</paraID>
      <start>9</start>
      <end>10</end>
      <status>modified</status>
      <modifiedWord>：</modifiedWord>
      <trackRevisions>false</trackRevisions>
    </reviewItem>
    <reviewItem>
      <errorID>08114a65-aa25-4f0b-a8a1-69acde6c7d51</errorID>
      <errorWord>末</errorWord>
      <group>L1_Word</group>
      <groupName>字词问题</groupName>
      <ability>L2_Typo</ability>
      <abilityName>字词错误</abilityName>
      <candidateList>
        <item>未</item>
      </candidateList>
      <explain>存在字形相近字词的误用。</explain>
      <paraID>2DB2868E</paraID>
      <start>15</start>
      <end>16</end>
      <status>modified</status>
      <modifiedWord>未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db24a06-5334-4b5d-bb20-c6ef45f05b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2394</Words>
  <Characters>2493</Characters>
  <Paragraphs>81</Paragraphs>
  <TotalTime>3</TotalTime>
  <ScaleCrop>false</ScaleCrop>
  <LinksUpToDate>false</LinksUpToDate>
  <CharactersWithSpaces>2537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2026-05-21T03:03:00Z</dcterms:created>
  <dc:creator>PTP-AN00</dc:creator>
  <cp:lastModifiedBy>509506764</cp:lastModifiedBy>
  <dcterms:modified xsi:type="dcterms:W3CDTF">2026-06-30T03:08:47Z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869149d56c0f4547ad44b6bf05d7509e_21</vt:lpwstr>
  </property>
  <property fmtid="{D5CDD505-2E9C-101B-9397-08002B2CF9AE}" pid="3" name="KSOTemplateDocerSaveRecord">
    <vt:lpwstr>eyJoZGlkIjoiMmQzYTM1NzU5Y2ZjODY5ODk0ZDA2ZWU3ODQ4YjBjMmEiLCJ1c2VySWQiOiI1MDk1MDY3NjQifQ==</vt:lpwstr>
  </property>
  <property fmtid="{D5CDD505-2E9C-101B-9397-08002B2CF9AE}" pid="4" name="KSOProductBuildVer">
    <vt:lpwstr>2052-12.1.0.26375</vt:lpwstr>
  </property>
</Properties>
</file>