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jc w:val="center"/>
        <w:rPr>
          <w:rFonts w:hint="eastAsia" w:ascii="宋体" w:hAnsi="宋体" w:eastAsia="宋体" w:cs="宋体"/>
          <w:b/>
          <w:bCs w:val="0"/>
          <w:snapToGrid w:val="0"/>
          <w:color w:val="000000"/>
          <w:kern w:val="0"/>
          <w:sz w:val="36"/>
          <w:szCs w:val="36"/>
          <w:lang w:val="en-US" w:eastAsia="zh-CN" w:bidi="ar-SA"/>
        </w:rPr>
      </w:pPr>
      <w:r>
        <w:rPr>
          <w:rFonts w:hint="eastAsia" w:ascii="宋体" w:hAnsi="宋体" w:eastAsia="宋体" w:cs="宋体"/>
          <w:b/>
          <w:bCs w:val="0"/>
          <w:snapToGrid w:val="0"/>
          <w:color w:val="000000"/>
          <w:kern w:val="0"/>
          <w:sz w:val="36"/>
          <w:szCs w:val="36"/>
          <w:lang w:val="en-US" w:eastAsia="zh-CN" w:bidi="ar-SA"/>
        </w:rPr>
        <w:t>齐齐哈尔医学院附属第二医院采购床旁监护仪需求</w:t>
      </w:r>
    </w:p>
    <w:p>
      <w:pPr>
        <w:numPr>
          <w:ilvl w:val="0"/>
          <w:numId w:val="0"/>
        </w:numPr>
        <w:ind w:firstLine="2891" w:firstLineChars="1200"/>
        <w:jc w:val="both"/>
        <w:rPr>
          <w:rFonts w:hint="default" w:ascii="仿宋" w:hAnsi="仿宋" w:eastAsia="仿宋" w:cs="仿宋"/>
          <w:b/>
          <w:sz w:val="24"/>
          <w:szCs w:val="24"/>
          <w:lang w:val="en-US"/>
        </w:rPr>
      </w:pPr>
      <w:r>
        <w:rPr>
          <w:rFonts w:hint="eastAsia" w:ascii="仿宋" w:hAnsi="仿宋" w:eastAsia="仿宋" w:cs="仿宋"/>
          <w:b/>
          <w:sz w:val="24"/>
          <w:szCs w:val="24"/>
          <w:lang w:eastAsia="zh-CN"/>
        </w:rPr>
        <w:t>项目编号</w:t>
      </w:r>
      <w:r>
        <w:rPr>
          <w:rFonts w:hint="eastAsia" w:ascii="仿宋" w:hAnsi="仿宋" w:eastAsia="仿宋" w:cs="仿宋"/>
          <w:b/>
          <w:sz w:val="24"/>
          <w:szCs w:val="24"/>
        </w:rPr>
        <w:t>：</w:t>
      </w:r>
      <w:r>
        <w:rPr>
          <w:rFonts w:hint="eastAsia" w:ascii="仿宋" w:hAnsi="仿宋" w:eastAsia="仿宋" w:cs="仿宋"/>
          <w:b/>
          <w:sz w:val="24"/>
          <w:szCs w:val="24"/>
          <w:lang w:val="en-US" w:eastAsia="zh-CN"/>
        </w:rPr>
        <w:t>QY-FSEY-2026011</w:t>
      </w:r>
      <w:bookmarkStart w:id="0" w:name="_GoBack"/>
      <w:bookmarkEnd w:id="0"/>
    </w:p>
    <w:p>
      <w:pPr>
        <w:numPr>
          <w:ilvl w:val="0"/>
          <w:numId w:val="0"/>
        </w:numPr>
        <w:rPr>
          <w:rFonts w:hint="eastAsia" w:ascii="宋体" w:hAnsi="宋体" w:eastAsia="宋体" w:cs="宋体"/>
          <w:b/>
          <w:sz w:val="30"/>
          <w:szCs w:val="30"/>
          <w:lang w:val="en-US"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ind w:leftChars="0" w:firstLine="600" w:firstLineChars="200"/>
        <w:jc w:val="both"/>
        <w:textAlignment w:val="baseline"/>
        <w:outlineLvl w:val="9"/>
        <w:rPr>
          <w:rFonts w:hint="eastAsia" w:ascii="宋体" w:hAnsi="宋体" w:eastAsia="宋体" w:cs="宋体"/>
          <w:b w:val="0"/>
          <w:bCs/>
          <w:sz w:val="30"/>
          <w:szCs w:val="30"/>
          <w:lang w:val="en-US" w:eastAsia="zh-CN"/>
        </w:rPr>
      </w:pPr>
      <w:r>
        <w:rPr>
          <w:rFonts w:hint="eastAsia" w:ascii="宋体" w:hAnsi="宋体" w:eastAsia="宋体" w:cs="宋体"/>
          <w:b w:val="0"/>
          <w:bCs/>
          <w:sz w:val="30"/>
          <w:szCs w:val="30"/>
          <w:lang w:val="en-US" w:eastAsia="zh-CN"/>
        </w:rPr>
        <w:t xml:space="preserve">  为进一步提升我院医疗服务能力，满足临床治疗需求，根据医院年度采购计划及预算安排，本着公开、公平、公正的原则，现面向社会公开采购床旁监护仪</w:t>
      </w:r>
      <w:r>
        <w:rPr>
          <w:rFonts w:hint="eastAsia" w:ascii="宋体" w:hAnsi="宋体" w:eastAsia="宋体" w:cs="宋体"/>
          <w:b w:val="0"/>
          <w:bCs/>
          <w:sz w:val="30"/>
          <w:szCs w:val="30"/>
          <w:highlight w:val="yellow"/>
          <w:lang w:val="en-US" w:eastAsia="zh-CN"/>
        </w:rPr>
        <w:t>贰</w:t>
      </w:r>
      <w:r>
        <w:rPr>
          <w:rFonts w:hint="eastAsia" w:ascii="宋体" w:hAnsi="宋体" w:eastAsia="宋体" w:cs="宋体"/>
          <w:b w:val="0"/>
          <w:bCs/>
          <w:sz w:val="30"/>
          <w:szCs w:val="30"/>
          <w:lang w:val="en-US" w:eastAsia="zh-CN"/>
        </w:rPr>
        <w:t>台。欢迎符合资格条件的供应商前来参加。</w:t>
      </w:r>
    </w:p>
    <w:p>
      <w:pPr>
        <w:keepNext w:val="0"/>
        <w:keepLines w:val="0"/>
        <w:pageBreakBefore w:val="0"/>
        <w:widowControl/>
        <w:numPr>
          <w:ilvl w:val="0"/>
          <w:numId w:val="1"/>
        </w:numPr>
        <w:kinsoku w:val="0"/>
        <w:wordWrap/>
        <w:overflowPunct/>
        <w:topLinePunct w:val="0"/>
        <w:autoSpaceDE w:val="0"/>
        <w:autoSpaceDN w:val="0"/>
        <w:bidi w:val="0"/>
        <w:adjustRightInd w:val="0"/>
        <w:snapToGrid w:val="0"/>
        <w:ind w:leftChars="0" w:firstLine="602" w:firstLineChars="200"/>
        <w:jc w:val="both"/>
        <w:textAlignment w:val="baseline"/>
        <w:outlineLvl w:val="9"/>
        <w:rPr>
          <w:rFonts w:hint="eastAsia" w:ascii="宋体" w:hAnsi="宋体" w:eastAsia="宋体" w:cs="宋体"/>
          <w:b/>
          <w:bCs w:val="0"/>
          <w:sz w:val="30"/>
          <w:szCs w:val="30"/>
          <w:lang w:val="en-US" w:eastAsia="zh-CN"/>
        </w:rPr>
      </w:pPr>
      <w:r>
        <w:rPr>
          <w:rFonts w:hint="eastAsia" w:ascii="宋体" w:hAnsi="宋体" w:eastAsia="宋体" w:cs="宋体"/>
          <w:b/>
          <w:bCs w:val="0"/>
          <w:sz w:val="30"/>
          <w:szCs w:val="30"/>
          <w:lang w:val="en-US" w:eastAsia="zh-CN"/>
        </w:rPr>
        <w:t>项目概况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b w:val="0"/>
          <w:bCs/>
          <w:sz w:val="30"/>
          <w:szCs w:val="30"/>
        </w:rPr>
      </w:pPr>
      <w:r>
        <w:rPr>
          <w:rFonts w:hint="eastAsia" w:ascii="宋体" w:hAnsi="宋体" w:eastAsia="宋体" w:cs="宋体"/>
          <w:b w:val="0"/>
          <w:bCs/>
          <w:sz w:val="30"/>
          <w:szCs w:val="30"/>
          <w:lang w:val="en-US" w:eastAsia="zh-CN"/>
        </w:rPr>
        <w:t>1、</w:t>
      </w:r>
      <w:r>
        <w:rPr>
          <w:rFonts w:hint="eastAsia" w:ascii="宋体" w:hAnsi="宋体" w:eastAsia="宋体" w:cs="宋体"/>
          <w:b w:val="0"/>
          <w:bCs/>
          <w:sz w:val="30"/>
          <w:szCs w:val="30"/>
        </w:rPr>
        <w:t>项目名称：</w:t>
      </w:r>
      <w:r>
        <w:rPr>
          <w:rFonts w:hint="eastAsia" w:ascii="宋体" w:hAnsi="宋体" w:eastAsia="宋体" w:cs="宋体"/>
          <w:b w:val="0"/>
          <w:bCs/>
          <w:sz w:val="30"/>
          <w:szCs w:val="30"/>
          <w:lang w:eastAsia="zh-CN"/>
        </w:rPr>
        <w:t>齐齐哈尔医学院附属第二医院</w:t>
      </w:r>
      <w:r>
        <w:rPr>
          <w:rFonts w:hint="eastAsia" w:ascii="宋体" w:hAnsi="宋体" w:eastAsia="宋体" w:cs="宋体"/>
          <w:b w:val="0"/>
          <w:bCs/>
          <w:sz w:val="30"/>
          <w:szCs w:val="30"/>
          <w:highlight w:val="yellow"/>
          <w:lang w:eastAsia="zh-CN"/>
        </w:rPr>
        <w:t>床旁监护仪</w:t>
      </w:r>
    </w:p>
    <w:p>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b w:val="0"/>
          <w:bCs/>
          <w:sz w:val="30"/>
          <w:szCs w:val="30"/>
          <w:lang w:val="en-US" w:eastAsia="zh-CN"/>
        </w:rPr>
      </w:pPr>
      <w:r>
        <w:rPr>
          <w:rFonts w:hint="eastAsia" w:ascii="宋体" w:hAnsi="宋体" w:eastAsia="宋体" w:cs="宋体"/>
          <w:b w:val="0"/>
          <w:bCs/>
          <w:sz w:val="30"/>
          <w:szCs w:val="30"/>
          <w:lang w:val="en-US" w:eastAsia="zh-CN"/>
        </w:rPr>
        <w:t>2、采购内容：床旁监护仪贰台</w:t>
      </w:r>
    </w:p>
    <w:p>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b w:val="0"/>
          <w:bCs/>
          <w:sz w:val="30"/>
          <w:szCs w:val="30"/>
          <w:lang w:val="en-US" w:eastAsia="zh-CN"/>
        </w:rPr>
      </w:pPr>
      <w:r>
        <w:rPr>
          <w:rFonts w:hint="eastAsia" w:ascii="宋体" w:hAnsi="宋体" w:eastAsia="宋体" w:cs="宋体"/>
          <w:b w:val="0"/>
          <w:bCs/>
          <w:sz w:val="30"/>
          <w:szCs w:val="30"/>
          <w:lang w:val="en-US" w:eastAsia="zh-CN"/>
        </w:rPr>
        <w:t>3、采购预算：单价预算为人民币</w:t>
      </w:r>
      <w:r>
        <w:rPr>
          <w:rFonts w:hint="eastAsia" w:ascii="宋体" w:hAnsi="宋体" w:eastAsia="宋体" w:cs="宋体"/>
          <w:b w:val="0"/>
          <w:bCs/>
          <w:sz w:val="30"/>
          <w:szCs w:val="30"/>
          <w:highlight w:val="yellow"/>
          <w:lang w:val="en-US" w:eastAsia="zh-CN"/>
        </w:rPr>
        <w:t>贰万元整</w:t>
      </w:r>
      <w:r>
        <w:rPr>
          <w:rFonts w:hint="eastAsia" w:ascii="宋体" w:hAnsi="宋体" w:eastAsia="宋体" w:cs="宋体"/>
          <w:b w:val="0"/>
          <w:bCs/>
          <w:sz w:val="30"/>
          <w:szCs w:val="30"/>
          <w:lang w:val="en-US" w:eastAsia="zh-CN"/>
        </w:rPr>
        <w:t>（￥20000.00）报价超过此预算的投标将被视为无效。</w:t>
      </w:r>
    </w:p>
    <w:p>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b w:val="0"/>
          <w:bCs/>
          <w:sz w:val="30"/>
          <w:szCs w:val="30"/>
          <w:lang w:val="en-US" w:eastAsia="zh-CN"/>
        </w:rPr>
      </w:pPr>
      <w:r>
        <w:rPr>
          <w:rFonts w:hint="eastAsia" w:ascii="宋体" w:hAnsi="宋体" w:eastAsia="宋体" w:cs="宋体"/>
          <w:b w:val="0"/>
          <w:bCs/>
          <w:sz w:val="30"/>
          <w:szCs w:val="30"/>
          <w:lang w:val="en-US" w:eastAsia="zh-CN"/>
        </w:rPr>
        <w:t>4、设备用途：主要用于对消化科病房病情危重患者的各项生命体征进行实时、连续的监测。</w:t>
      </w:r>
    </w:p>
    <w:p>
      <w:pPr>
        <w:keepNext w:val="0"/>
        <w:keepLines w:val="0"/>
        <w:pageBreakBefore w:val="0"/>
        <w:widowControl/>
        <w:numPr>
          <w:ilvl w:val="0"/>
          <w:numId w:val="0"/>
        </w:numPr>
        <w:kinsoku w:val="0"/>
        <w:wordWrap/>
        <w:overflowPunct/>
        <w:topLinePunct w:val="0"/>
        <w:autoSpaceDE w:val="0"/>
        <w:autoSpaceDN w:val="0"/>
        <w:bidi w:val="0"/>
        <w:adjustRightInd w:val="0"/>
        <w:snapToGrid w:val="0"/>
        <w:jc w:val="both"/>
        <w:textAlignment w:val="baseline"/>
        <w:outlineLvl w:val="9"/>
        <w:rPr>
          <w:rFonts w:hint="eastAsia" w:ascii="宋体" w:hAnsi="宋体" w:eastAsia="宋体" w:cs="宋体"/>
          <w:b w:val="0"/>
          <w:bCs/>
          <w:color w:val="auto"/>
          <w:sz w:val="30"/>
          <w:szCs w:val="30"/>
        </w:rPr>
      </w:pPr>
      <w:r>
        <w:rPr>
          <w:rFonts w:hint="eastAsia" w:ascii="宋体" w:hAnsi="宋体" w:eastAsia="宋体" w:cs="宋体"/>
          <w:b w:val="0"/>
          <w:bCs/>
          <w:color w:val="auto"/>
          <w:sz w:val="30"/>
          <w:szCs w:val="30"/>
          <w:lang w:val="en-US" w:eastAsia="zh-CN"/>
        </w:rPr>
        <w:t>二、</w:t>
      </w:r>
      <w:r>
        <w:rPr>
          <w:rFonts w:hint="eastAsia" w:ascii="宋体" w:hAnsi="宋体" w:eastAsia="宋体" w:cs="宋体"/>
          <w:b/>
          <w:bCs w:val="0"/>
          <w:color w:val="auto"/>
          <w:sz w:val="30"/>
          <w:szCs w:val="30"/>
          <w:lang w:eastAsia="zh-CN"/>
        </w:rPr>
        <w:t>供应商</w:t>
      </w:r>
      <w:r>
        <w:rPr>
          <w:rFonts w:hint="eastAsia" w:ascii="宋体" w:hAnsi="宋体" w:eastAsia="宋体" w:cs="宋体"/>
          <w:b/>
          <w:bCs w:val="0"/>
          <w:color w:val="auto"/>
          <w:sz w:val="30"/>
          <w:szCs w:val="30"/>
        </w:rPr>
        <w:t>资格要求</w:t>
      </w:r>
      <w:r>
        <w:rPr>
          <w:rFonts w:hint="eastAsia" w:ascii="宋体" w:hAnsi="宋体" w:eastAsia="宋体" w:cs="宋体"/>
          <w:b w:val="0"/>
          <w:bCs/>
          <w:color w:val="auto"/>
          <w:sz w:val="30"/>
          <w:szCs w:val="30"/>
        </w:rPr>
        <w:t>：具有独立承担民事责任的能力，提供有效的营业执照（副本复印件）。</w:t>
      </w:r>
    </w:p>
    <w:p>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b w:val="0"/>
          <w:bCs/>
          <w:color w:val="auto"/>
          <w:sz w:val="30"/>
          <w:szCs w:val="30"/>
        </w:rPr>
      </w:pPr>
      <w:r>
        <w:rPr>
          <w:rFonts w:hint="eastAsia" w:ascii="宋体" w:hAnsi="宋体" w:eastAsia="宋体" w:cs="宋体"/>
          <w:b w:val="0"/>
          <w:bCs/>
          <w:color w:val="auto"/>
          <w:sz w:val="30"/>
          <w:szCs w:val="30"/>
        </w:rPr>
        <w:t>2. 具有良好的商业信誉和健全的财务会计制度。</w:t>
      </w:r>
    </w:p>
    <w:p>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b w:val="0"/>
          <w:bCs/>
          <w:color w:val="auto"/>
          <w:sz w:val="30"/>
          <w:szCs w:val="30"/>
        </w:rPr>
      </w:pPr>
      <w:r>
        <w:rPr>
          <w:rFonts w:hint="eastAsia" w:ascii="宋体" w:hAnsi="宋体" w:eastAsia="宋体" w:cs="宋体"/>
          <w:b w:val="0"/>
          <w:bCs/>
          <w:color w:val="auto"/>
          <w:sz w:val="30"/>
          <w:szCs w:val="30"/>
        </w:rPr>
        <w:t>3. 具有履行合同所必需的设备和专业技术能力。</w:t>
      </w:r>
    </w:p>
    <w:p>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b w:val="0"/>
          <w:bCs/>
          <w:color w:val="auto"/>
          <w:sz w:val="30"/>
          <w:szCs w:val="30"/>
        </w:rPr>
      </w:pPr>
      <w:r>
        <w:rPr>
          <w:rFonts w:hint="eastAsia" w:ascii="宋体" w:hAnsi="宋体" w:eastAsia="宋体" w:cs="宋体"/>
          <w:b w:val="0"/>
          <w:bCs/>
          <w:color w:val="auto"/>
          <w:sz w:val="30"/>
          <w:szCs w:val="30"/>
        </w:rPr>
        <w:t>4. 有依法缴纳税收和社会保障资金的良好记录。</w:t>
      </w:r>
    </w:p>
    <w:p>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b w:val="0"/>
          <w:bCs/>
          <w:color w:val="auto"/>
          <w:sz w:val="30"/>
          <w:szCs w:val="30"/>
        </w:rPr>
      </w:pPr>
      <w:r>
        <w:rPr>
          <w:rFonts w:hint="eastAsia" w:ascii="宋体" w:hAnsi="宋体" w:eastAsia="宋体" w:cs="宋体"/>
          <w:b w:val="0"/>
          <w:bCs/>
          <w:color w:val="auto"/>
          <w:sz w:val="30"/>
          <w:szCs w:val="30"/>
        </w:rPr>
        <w:t>5. 参加采购活动前三年内，在经营活动中没有重大违法记录。</w:t>
      </w:r>
    </w:p>
    <w:p>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b w:val="0"/>
          <w:bCs/>
          <w:color w:val="auto"/>
          <w:sz w:val="30"/>
          <w:szCs w:val="30"/>
          <w:lang w:val="en-US" w:eastAsia="zh-CN"/>
        </w:rPr>
      </w:pPr>
      <w:r>
        <w:rPr>
          <w:rFonts w:hint="eastAsia" w:ascii="宋体" w:hAnsi="宋体" w:eastAsia="宋体" w:cs="宋体"/>
          <w:b w:val="0"/>
          <w:bCs/>
          <w:color w:val="auto"/>
          <w:sz w:val="30"/>
          <w:szCs w:val="30"/>
        </w:rPr>
        <w:t>6.</w:t>
      </w:r>
      <w:r>
        <w:rPr>
          <w:rFonts w:hint="eastAsia" w:ascii="宋体" w:hAnsi="宋体" w:eastAsia="宋体" w:cs="宋体"/>
          <w:b w:val="0"/>
          <w:bCs/>
          <w:color w:val="auto"/>
          <w:sz w:val="30"/>
          <w:szCs w:val="30"/>
          <w:highlight w:val="yellow"/>
        </w:rPr>
        <w:t xml:space="preserve"> 必须具备有效的</w:t>
      </w:r>
      <w:r>
        <w:rPr>
          <w:rFonts w:hint="eastAsia" w:ascii="宋体" w:hAnsi="宋体" w:eastAsia="宋体" w:cs="宋体"/>
          <w:b w:val="0"/>
          <w:bCs/>
          <w:color w:val="auto"/>
          <w:sz w:val="30"/>
          <w:szCs w:val="30"/>
          <w:highlight w:val="yellow"/>
          <w:lang w:val="en-US" w:eastAsia="zh-CN"/>
        </w:rPr>
        <w:t>《医疗器械经营许可证》</w:t>
      </w:r>
      <w:r>
        <w:rPr>
          <w:rFonts w:hint="eastAsia" w:ascii="宋体" w:hAnsi="宋体" w:eastAsia="宋体" w:cs="宋体"/>
          <w:b w:val="0"/>
          <w:bCs/>
          <w:color w:val="auto"/>
          <w:sz w:val="30"/>
          <w:szCs w:val="30"/>
          <w:lang w:val="en-US" w:eastAsia="zh-CN"/>
        </w:rPr>
        <w:t>(投标人为生产企业除外)，并提供所投产品的《医疗器械生产许可证》</w:t>
      </w:r>
      <w:r>
        <w:rPr>
          <w:rFonts w:hint="eastAsia" w:ascii="宋体" w:hAnsi="宋体" w:eastAsia="宋体" w:cs="宋体"/>
          <w:b w:val="0"/>
          <w:bCs/>
          <w:color w:val="auto"/>
          <w:sz w:val="30"/>
          <w:szCs w:val="30"/>
          <w:highlight w:val="yellow"/>
          <w:lang w:val="en-US" w:eastAsia="zh-CN"/>
        </w:rPr>
        <w:t>(投标人为生产企业)</w:t>
      </w:r>
      <w:r>
        <w:rPr>
          <w:rFonts w:hint="eastAsia" w:ascii="宋体" w:hAnsi="宋体" w:eastAsia="宋体" w:cs="宋体"/>
          <w:b w:val="0"/>
          <w:bCs/>
          <w:color w:val="auto"/>
          <w:sz w:val="30"/>
          <w:szCs w:val="30"/>
          <w:lang w:val="en-US" w:eastAsia="zh-CN"/>
        </w:rPr>
        <w:t>和第三类医疗器械《医疗器械注册证》。</w:t>
      </w:r>
    </w:p>
    <w:p>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b w:val="0"/>
          <w:bCs/>
          <w:color w:val="auto"/>
          <w:sz w:val="30"/>
          <w:szCs w:val="30"/>
        </w:rPr>
      </w:pPr>
      <w:r>
        <w:rPr>
          <w:rFonts w:hint="eastAsia" w:ascii="宋体" w:hAnsi="宋体" w:eastAsia="宋体" w:cs="宋体"/>
          <w:b w:val="0"/>
          <w:bCs/>
          <w:color w:val="auto"/>
          <w:sz w:val="30"/>
          <w:szCs w:val="30"/>
        </w:rPr>
        <w:t>7. 所投产品必须为合法注册的医疗器械，提供《中华人民共和国医疗器械注册证》或《医疗器械备案凭证》（复印件），且产品适用范围须与本次采购要求相符。</w:t>
      </w:r>
    </w:p>
    <w:p>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b w:val="0"/>
          <w:bCs/>
          <w:sz w:val="30"/>
          <w:szCs w:val="30"/>
          <w:lang w:val="en-US" w:eastAsia="zh-CN"/>
        </w:rPr>
      </w:pPr>
      <w:r>
        <w:rPr>
          <w:rFonts w:hint="eastAsia" w:ascii="宋体" w:hAnsi="宋体" w:eastAsia="宋体" w:cs="宋体"/>
          <w:b w:val="0"/>
          <w:bCs/>
          <w:color w:val="auto"/>
          <w:sz w:val="30"/>
          <w:szCs w:val="30"/>
        </w:rPr>
        <w:t>8. 本项目不接受联合体投标。</w:t>
      </w:r>
    </w:p>
    <w:p>
      <w:pPr>
        <w:keepNext w:val="0"/>
        <w:keepLines w:val="0"/>
        <w:pageBreakBefore w:val="0"/>
        <w:widowControl/>
        <w:numPr>
          <w:ilvl w:val="0"/>
          <w:numId w:val="0"/>
        </w:numPr>
        <w:kinsoku w:val="0"/>
        <w:wordWrap/>
        <w:overflowPunct/>
        <w:topLinePunct w:val="0"/>
        <w:autoSpaceDE w:val="0"/>
        <w:autoSpaceDN w:val="0"/>
        <w:bidi w:val="0"/>
        <w:adjustRightInd w:val="0"/>
        <w:snapToGrid w:val="0"/>
        <w:jc w:val="both"/>
        <w:textAlignment w:val="baseline"/>
        <w:outlineLvl w:val="9"/>
        <w:rPr>
          <w:rFonts w:hint="eastAsia" w:ascii="宋体" w:hAnsi="宋体" w:eastAsia="宋体" w:cs="宋体"/>
          <w:b w:val="0"/>
          <w:bCs/>
          <w:sz w:val="30"/>
          <w:szCs w:val="30"/>
          <w:lang w:val="en-US"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jc w:val="both"/>
        <w:textAlignment w:val="baseline"/>
        <w:outlineLvl w:val="9"/>
        <w:rPr>
          <w:rFonts w:hint="eastAsia" w:ascii="宋体" w:hAnsi="宋体" w:eastAsia="宋体" w:cs="宋体"/>
          <w:b w:val="0"/>
          <w:bCs/>
          <w:sz w:val="30"/>
          <w:szCs w:val="30"/>
          <w:lang w:val="en-US" w:eastAsia="zh-CN"/>
        </w:rPr>
      </w:pPr>
      <w:r>
        <w:rPr>
          <w:rFonts w:hint="eastAsia" w:ascii="宋体" w:hAnsi="宋体" w:eastAsia="宋体" w:cs="宋体"/>
          <w:b w:val="0"/>
          <w:bCs/>
          <w:sz w:val="30"/>
          <w:szCs w:val="30"/>
          <w:lang w:val="en-US" w:eastAsia="zh-CN"/>
        </w:rPr>
        <w:t>三、</w:t>
      </w:r>
      <w:r>
        <w:rPr>
          <w:rFonts w:hint="eastAsia" w:ascii="宋体" w:hAnsi="宋体" w:eastAsia="宋体" w:cs="宋体"/>
          <w:b/>
          <w:bCs w:val="0"/>
          <w:sz w:val="30"/>
          <w:szCs w:val="30"/>
          <w:lang w:val="en-US" w:eastAsia="zh-CN"/>
        </w:rPr>
        <w:t>技术参数要求</w:t>
      </w:r>
      <w:r>
        <w:rPr>
          <w:rFonts w:hint="eastAsia" w:ascii="宋体" w:hAnsi="宋体" w:eastAsia="宋体" w:cs="宋体"/>
          <w:b w:val="0"/>
          <w:bCs/>
          <w:sz w:val="30"/>
          <w:szCs w:val="30"/>
          <w:lang w:val="en-US" w:eastAsia="zh-CN"/>
        </w:rPr>
        <w:t xml:space="preserve">   </w:t>
      </w:r>
    </w:p>
    <w:p>
      <w:pPr>
        <w:pStyle w:val="2"/>
        <w:bidi w:val="0"/>
        <w:jc w:val="center"/>
        <w:rPr>
          <w:b/>
          <w:bCs/>
          <w:sz w:val="24"/>
          <w:szCs w:val="24"/>
        </w:rPr>
      </w:pPr>
      <w:r>
        <w:rPr>
          <w:rFonts w:hint="eastAsia"/>
          <w:sz w:val="32"/>
          <w:szCs w:val="32"/>
          <w:lang w:val="en-US" w:eastAsia="zh-CN"/>
        </w:rPr>
        <w:t>病人监护仪</w:t>
      </w:r>
      <w:r>
        <w:rPr>
          <w:rFonts w:hint="eastAsia"/>
          <w:sz w:val="32"/>
          <w:szCs w:val="32"/>
        </w:rPr>
        <w:t>参数</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sz w:val="24"/>
          <w:szCs w:val="24"/>
        </w:rPr>
      </w:pPr>
      <w:r>
        <w:rPr>
          <w:rFonts w:hint="eastAsia"/>
          <w:sz w:val="24"/>
          <w:szCs w:val="24"/>
          <w:lang w:val="en-US" w:eastAsia="zh-CN"/>
        </w:rPr>
        <w:t>1、</w:t>
      </w:r>
      <w:r>
        <w:rPr>
          <w:rFonts w:hint="eastAsia"/>
          <w:color w:val="auto"/>
          <w:sz w:val="24"/>
          <w:szCs w:val="24"/>
          <w:highlight w:val="none"/>
          <w:lang w:val="en-US" w:eastAsia="zh-CN"/>
        </w:rPr>
        <w:t>★</w:t>
      </w:r>
      <w:r>
        <w:rPr>
          <w:rFonts w:hint="eastAsia"/>
          <w:sz w:val="24"/>
          <w:szCs w:val="24"/>
        </w:rPr>
        <w:t>一体化多参数监护仪，彩色显示屏≥1</w:t>
      </w:r>
      <w:r>
        <w:rPr>
          <w:sz w:val="24"/>
          <w:szCs w:val="24"/>
        </w:rPr>
        <w:t>0</w:t>
      </w:r>
      <w:r>
        <w:rPr>
          <w:rFonts w:hint="eastAsia"/>
          <w:sz w:val="24"/>
          <w:szCs w:val="24"/>
        </w:rPr>
        <w:t>英寸</w:t>
      </w:r>
      <w:r>
        <w:rPr>
          <w:rFonts w:hint="eastAsia"/>
          <w:sz w:val="24"/>
          <w:szCs w:val="24"/>
          <w:lang w:eastAsia="zh-CN"/>
        </w:rPr>
        <w:t>，</w:t>
      </w:r>
      <w:r>
        <w:rPr>
          <w:rFonts w:hint="eastAsia"/>
          <w:sz w:val="24"/>
          <w:szCs w:val="24"/>
          <w:highlight w:val="none"/>
        </w:rPr>
        <w:t>分辨率</w:t>
      </w:r>
      <w:r>
        <w:rPr>
          <w:rFonts w:hint="eastAsia"/>
          <w:sz w:val="24"/>
          <w:szCs w:val="24"/>
        </w:rPr>
        <w:t>≥</w:t>
      </w:r>
      <w:r>
        <w:rPr>
          <w:rFonts w:hint="eastAsia"/>
          <w:sz w:val="24"/>
          <w:szCs w:val="24"/>
          <w:highlight w:val="none"/>
        </w:rPr>
        <w:t>1280</w:t>
      </w:r>
      <w:r>
        <w:rPr>
          <w:sz w:val="24"/>
          <w:szCs w:val="24"/>
          <w:highlight w:val="none"/>
        </w:rPr>
        <w:t>×</w:t>
      </w:r>
      <w:r>
        <w:rPr>
          <w:rFonts w:hint="eastAsia"/>
          <w:sz w:val="24"/>
          <w:szCs w:val="24"/>
          <w:highlight w:val="none"/>
        </w:rPr>
        <w:t>800像素</w:t>
      </w:r>
      <w:r>
        <w:rPr>
          <w:rFonts w:hint="eastAsia"/>
          <w:sz w:val="24"/>
          <w:szCs w:val="24"/>
          <w:highlight w:val="none"/>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sz w:val="24"/>
          <w:szCs w:val="24"/>
        </w:rPr>
      </w:pPr>
      <w:r>
        <w:rPr>
          <w:rFonts w:hint="eastAsia"/>
          <w:sz w:val="24"/>
          <w:szCs w:val="24"/>
          <w:lang w:val="en-US" w:eastAsia="zh-CN"/>
        </w:rPr>
        <w:t>2、</w:t>
      </w:r>
      <w:r>
        <w:rPr>
          <w:rFonts w:hint="eastAsia"/>
          <w:color w:val="auto"/>
          <w:sz w:val="24"/>
          <w:szCs w:val="24"/>
          <w:highlight w:val="none"/>
          <w:lang w:val="en-US" w:eastAsia="zh-CN"/>
        </w:rPr>
        <w:t>★</w:t>
      </w:r>
      <w:r>
        <w:rPr>
          <w:rFonts w:hint="eastAsia"/>
          <w:sz w:val="24"/>
          <w:szCs w:val="24"/>
          <w:lang w:val="en-US" w:eastAsia="zh-CN"/>
        </w:rPr>
        <w:t>屏幕为电容触摸屏，亮度自动调节</w:t>
      </w:r>
      <w:r>
        <w:rPr>
          <w:rFonts w:hint="eastAsia"/>
          <w:sz w:val="24"/>
          <w:szCs w:val="24"/>
        </w:rPr>
        <w:t>，</w:t>
      </w:r>
      <w:r>
        <w:rPr>
          <w:rFonts w:hint="eastAsia"/>
          <w:sz w:val="24"/>
          <w:szCs w:val="24"/>
          <w:lang w:val="en-US" w:eastAsia="zh-CN"/>
        </w:rPr>
        <w:t>具备</w:t>
      </w:r>
      <w:r>
        <w:rPr>
          <w:rFonts w:hint="eastAsia"/>
          <w:sz w:val="24"/>
          <w:szCs w:val="24"/>
        </w:rPr>
        <w:t>根据环境光自动调节屏幕亮度功能。</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b w:val="0"/>
          <w:bCs w:val="0"/>
          <w:sz w:val="24"/>
          <w:szCs w:val="24"/>
        </w:rPr>
      </w:pPr>
      <w:r>
        <w:rPr>
          <w:rFonts w:hint="eastAsia"/>
          <w:sz w:val="24"/>
          <w:szCs w:val="24"/>
          <w:lang w:val="en-US" w:eastAsia="zh-CN"/>
        </w:rPr>
        <w:t>3、</w:t>
      </w:r>
      <w:r>
        <w:rPr>
          <w:rFonts w:hint="eastAsia"/>
          <w:sz w:val="24"/>
          <w:szCs w:val="24"/>
        </w:rPr>
        <w:t>具有单独的电池仓，免螺丝刀拆卸更换电池。</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b w:val="0"/>
          <w:bCs w:val="0"/>
          <w:sz w:val="24"/>
          <w:szCs w:val="24"/>
        </w:rPr>
      </w:pPr>
      <w:r>
        <w:rPr>
          <w:rFonts w:hint="eastAsia"/>
          <w:b w:val="0"/>
          <w:bCs w:val="0"/>
          <w:sz w:val="24"/>
          <w:szCs w:val="24"/>
          <w:lang w:val="en-US" w:eastAsia="zh-CN"/>
        </w:rPr>
        <w:t>4、</w:t>
      </w:r>
      <w:r>
        <w:rPr>
          <w:rFonts w:hint="eastAsia"/>
          <w:b w:val="0"/>
          <w:bCs w:val="0"/>
          <w:sz w:val="24"/>
          <w:szCs w:val="24"/>
        </w:rPr>
        <w:t xml:space="preserve">安全规格：ECG, </w:t>
      </w:r>
      <w:r>
        <w:rPr>
          <w:rFonts w:hint="eastAsia"/>
          <w:b w:val="0"/>
          <w:bCs w:val="0"/>
          <w:sz w:val="24"/>
          <w:szCs w:val="24"/>
          <w:lang w:val="en-US" w:eastAsia="zh-CN"/>
        </w:rPr>
        <w:t>RESP、</w:t>
      </w:r>
      <w:r>
        <w:rPr>
          <w:rFonts w:hint="eastAsia"/>
          <w:b w:val="0"/>
          <w:bCs w:val="0"/>
          <w:sz w:val="24"/>
          <w:szCs w:val="24"/>
        </w:rPr>
        <w:t>TEMP, SpO2 , NIBP监测参数抗电击程度为防除颤CF型。</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color w:val="auto"/>
          <w:sz w:val="24"/>
          <w:szCs w:val="24"/>
          <w:highlight w:val="none"/>
          <w:lang w:val="en-US" w:eastAsia="zh-CN"/>
        </w:rPr>
      </w:pPr>
      <w:r>
        <w:rPr>
          <w:rFonts w:hint="eastAsia"/>
          <w:sz w:val="24"/>
          <w:szCs w:val="24"/>
          <w:lang w:val="en-US" w:eastAsia="zh-CN"/>
        </w:rPr>
        <w:t>5、</w:t>
      </w:r>
      <w:r>
        <w:rPr>
          <w:rFonts w:hint="eastAsia" w:ascii="宋体" w:hAnsi="宋体"/>
          <w:sz w:val="24"/>
          <w:szCs w:val="24"/>
        </w:rPr>
        <w:t>心电监护支持心率，ST段测量，心律失常分析和对应报警功能。</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color w:val="auto"/>
          <w:sz w:val="24"/>
          <w:szCs w:val="24"/>
          <w:highlight w:val="none"/>
          <w:lang w:val="en-US" w:eastAsia="zh-CN"/>
        </w:rPr>
      </w:pPr>
      <w:r>
        <w:rPr>
          <w:rFonts w:hint="eastAsia" w:cs="宋体"/>
          <w:kern w:val="0"/>
          <w:sz w:val="24"/>
          <w:szCs w:val="24"/>
          <w:lang w:val="en-US" w:eastAsia="zh-CN"/>
        </w:rPr>
        <w:t>6、</w:t>
      </w:r>
      <w:r>
        <w:rPr>
          <w:rFonts w:hint="eastAsia" w:ascii="宋体" w:hAnsi="宋体" w:cs="宋体"/>
          <w:kern w:val="0"/>
          <w:sz w:val="24"/>
          <w:szCs w:val="24"/>
          <w:lang w:val="en-US" w:eastAsia="zh-CN"/>
        </w:rPr>
        <w:t>提供窗口支持心脏下壁，侧壁和前壁对应多个ST片段的同屏实时显示，提供参考片段和实时片段的对比查看。</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color w:val="auto"/>
          <w:sz w:val="24"/>
          <w:szCs w:val="24"/>
          <w:highlight w:val="none"/>
          <w:lang w:val="en-US" w:eastAsia="zh-CN"/>
        </w:rPr>
      </w:pPr>
      <w:r>
        <w:rPr>
          <w:rFonts w:hint="eastAsia"/>
          <w:color w:val="auto"/>
          <w:sz w:val="24"/>
          <w:szCs w:val="24"/>
          <w:highlight w:val="none"/>
          <w:lang w:val="en-US" w:eastAsia="zh-CN"/>
        </w:rPr>
        <w:t>7、配置3/5导心电，支持升级6/12导心电，具有智能导联脱落，多导同步分析功能；具有呼吸，无创血压，血氧饱和度，脉搏和双通道体温参数监测。</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color w:val="auto"/>
          <w:sz w:val="24"/>
          <w:szCs w:val="24"/>
          <w:highlight w:val="none"/>
          <w:lang w:val="en-US" w:eastAsia="zh-CN"/>
        </w:rPr>
      </w:pPr>
      <w:r>
        <w:rPr>
          <w:rFonts w:hint="eastAsia"/>
          <w:color w:val="auto"/>
          <w:sz w:val="24"/>
          <w:szCs w:val="24"/>
          <w:highlight w:val="none"/>
          <w:lang w:val="en-US" w:eastAsia="zh-CN"/>
        </w:rPr>
        <w:t>8、具有QT/QTc测量功能，</w:t>
      </w:r>
      <w:r>
        <w:rPr>
          <w:rFonts w:hint="eastAsia" w:ascii="宋体" w:hAnsi="宋体" w:cs="宋体"/>
          <w:kern w:val="0"/>
          <w:sz w:val="24"/>
          <w:szCs w:val="24"/>
          <w:lang w:val="en-US" w:eastAsia="zh-CN"/>
        </w:rPr>
        <w:t>QT和QTc实时监测参数测量范围：200ms～800 ms。</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color w:val="auto"/>
          <w:sz w:val="24"/>
          <w:szCs w:val="24"/>
          <w:highlight w:val="none"/>
          <w:lang w:val="en-US" w:eastAsia="zh-CN"/>
        </w:rPr>
      </w:pPr>
      <w:r>
        <w:rPr>
          <w:rFonts w:hint="eastAsia" w:cs="宋体"/>
          <w:kern w:val="0"/>
          <w:sz w:val="24"/>
          <w:szCs w:val="24"/>
          <w:lang w:val="en-US" w:eastAsia="zh-CN"/>
        </w:rPr>
        <w:t>9、</w:t>
      </w:r>
      <w:r>
        <w:rPr>
          <w:rFonts w:hint="eastAsia" w:ascii="宋体" w:hAnsi="宋体" w:cs="宋体"/>
          <w:kern w:val="0"/>
          <w:sz w:val="24"/>
          <w:szCs w:val="24"/>
          <w:lang w:val="en-US" w:eastAsia="zh-CN"/>
        </w:rPr>
        <w:t>心电算法通过AHA/MIT-BIH数据库验证</w:t>
      </w:r>
      <w:r>
        <w:rPr>
          <w:rFonts w:hint="eastAsia" w:cs="宋体"/>
          <w:kern w:val="0"/>
          <w:sz w:val="24"/>
          <w:szCs w:val="24"/>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color w:val="auto"/>
          <w:sz w:val="24"/>
          <w:szCs w:val="24"/>
          <w:highlight w:val="none"/>
          <w:lang w:val="en-US" w:eastAsia="zh-CN"/>
        </w:rPr>
      </w:pPr>
      <w:r>
        <w:rPr>
          <w:rFonts w:hint="eastAsia" w:cs="宋体"/>
          <w:kern w:val="0"/>
          <w:sz w:val="24"/>
          <w:szCs w:val="24"/>
          <w:lang w:val="en-US" w:eastAsia="zh-CN"/>
        </w:rPr>
        <w:t>10、</w:t>
      </w:r>
      <w:r>
        <w:rPr>
          <w:rFonts w:hint="eastAsia" w:ascii="宋体" w:hAnsi="宋体" w:cs="宋体"/>
          <w:kern w:val="0"/>
          <w:sz w:val="24"/>
          <w:szCs w:val="24"/>
          <w:lang w:val="en-US" w:eastAsia="zh-CN"/>
        </w:rPr>
        <w:t>心电波形扫描速度支持6.25mm/s、12.5 mm/s、25 mm/s和50 mm/s。</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color w:val="auto"/>
          <w:sz w:val="24"/>
          <w:szCs w:val="24"/>
          <w:highlight w:val="none"/>
          <w:lang w:val="en-US" w:eastAsia="zh-CN"/>
        </w:rPr>
      </w:pPr>
      <w:r>
        <w:rPr>
          <w:rFonts w:hint="eastAsia"/>
          <w:color w:val="auto"/>
          <w:sz w:val="24"/>
          <w:szCs w:val="24"/>
          <w:highlight w:val="none"/>
          <w:lang w:val="en-US" w:eastAsia="zh-CN"/>
        </w:rPr>
        <w:t>11、提供手动，自动，连续和序列4种测量模式，并提供24小时血压统计结果。</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color w:val="auto"/>
          <w:sz w:val="24"/>
          <w:szCs w:val="24"/>
          <w:highlight w:val="none"/>
          <w:lang w:val="en-US" w:eastAsia="zh-CN"/>
        </w:rPr>
      </w:pPr>
      <w:r>
        <w:rPr>
          <w:rFonts w:hint="eastAsia" w:cs="宋体"/>
          <w:kern w:val="0"/>
          <w:sz w:val="24"/>
          <w:szCs w:val="24"/>
          <w:lang w:val="en-US" w:eastAsia="zh-CN"/>
        </w:rPr>
        <w:t>12、</w:t>
      </w:r>
      <w:r>
        <w:rPr>
          <w:rFonts w:hint="eastAsia" w:ascii="宋体" w:hAnsi="宋体" w:cs="宋体"/>
          <w:kern w:val="0"/>
          <w:sz w:val="24"/>
          <w:szCs w:val="24"/>
          <w:lang w:val="en-US" w:eastAsia="zh-CN"/>
        </w:rPr>
        <w:t>无创血压成人测量范围：收缩压25~290mmHg，舒张压10~250mmHg，平均压15~260mmHg。</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color w:val="auto"/>
          <w:sz w:val="24"/>
          <w:szCs w:val="24"/>
          <w:highlight w:val="none"/>
          <w:lang w:val="en-US" w:eastAsia="zh-CN"/>
        </w:rPr>
      </w:pPr>
      <w:r>
        <w:rPr>
          <w:rFonts w:hint="eastAsia"/>
          <w:color w:val="auto"/>
          <w:sz w:val="24"/>
          <w:szCs w:val="24"/>
          <w:highlight w:val="none"/>
          <w:lang w:val="en-US" w:eastAsia="zh-CN"/>
        </w:rPr>
        <w:t>13、具有多导同步分析功能。</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color w:val="auto"/>
          <w:sz w:val="24"/>
          <w:szCs w:val="24"/>
          <w:highlight w:val="none"/>
          <w:lang w:val="en-US" w:eastAsia="zh-CN"/>
        </w:rPr>
      </w:pPr>
      <w:r>
        <w:rPr>
          <w:rFonts w:hint="eastAsia"/>
          <w:color w:val="auto"/>
          <w:sz w:val="24"/>
          <w:szCs w:val="24"/>
          <w:highlight w:val="none"/>
          <w:lang w:val="en-US" w:eastAsia="zh-CN"/>
        </w:rPr>
        <w:t>14、具有≥25种心律失常分析，至少包括房颤、室颤、停搏。</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color w:val="auto"/>
          <w:sz w:val="24"/>
          <w:szCs w:val="24"/>
          <w:highlight w:val="none"/>
          <w:lang w:val="en-US" w:eastAsia="zh-CN"/>
        </w:rPr>
      </w:pPr>
      <w:r>
        <w:rPr>
          <w:rFonts w:hint="eastAsia" w:ascii="宋体" w:hAnsi="宋体" w:cs="宋体"/>
          <w:kern w:val="0"/>
          <w:sz w:val="24"/>
          <w:szCs w:val="24"/>
          <w:highlight w:val="none"/>
          <w:lang w:val="en-US" w:eastAsia="zh-CN"/>
        </w:rPr>
        <w:t>支持指套式血氧探头，IPX7防水等级，支持液体浸泡消毒和清洁。</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color w:val="auto"/>
          <w:sz w:val="24"/>
          <w:szCs w:val="24"/>
          <w:highlight w:val="none"/>
          <w:lang w:val="en-US" w:eastAsia="zh-CN"/>
        </w:rPr>
      </w:pPr>
      <w:r>
        <w:rPr>
          <w:rFonts w:hint="eastAsia" w:cs="宋体"/>
          <w:kern w:val="0"/>
          <w:sz w:val="24"/>
          <w:szCs w:val="24"/>
          <w:highlight w:val="none"/>
          <w:lang w:val="en-US" w:eastAsia="zh-CN"/>
        </w:rPr>
        <w:t>15、</w:t>
      </w:r>
      <w:r>
        <w:rPr>
          <w:rFonts w:hint="eastAsia" w:ascii="宋体" w:hAnsi="宋体" w:cs="宋体"/>
          <w:kern w:val="0"/>
          <w:sz w:val="24"/>
          <w:szCs w:val="24"/>
          <w:highlight w:val="none"/>
          <w:lang w:val="en-US" w:eastAsia="zh-CN"/>
        </w:rPr>
        <w:t>提供双通道体温和温差参数的监测</w:t>
      </w:r>
      <w:r>
        <w:rPr>
          <w:rFonts w:hint="eastAsia" w:cs="宋体"/>
          <w:kern w:val="0"/>
          <w:sz w:val="24"/>
          <w:szCs w:val="24"/>
          <w:highlight w:val="none"/>
          <w:lang w:val="en-US" w:eastAsia="zh-CN"/>
        </w:rPr>
        <w:t xml:space="preserve">。 </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color w:val="auto"/>
          <w:sz w:val="24"/>
          <w:szCs w:val="24"/>
          <w:highlight w:val="none"/>
          <w:lang w:val="en-US" w:eastAsia="zh-CN"/>
        </w:rPr>
      </w:pPr>
      <w:r>
        <w:rPr>
          <w:rFonts w:hint="eastAsia"/>
          <w:color w:val="auto"/>
          <w:sz w:val="24"/>
          <w:szCs w:val="24"/>
          <w:highlight w:val="none"/>
          <w:lang w:val="en-US" w:eastAsia="zh-CN"/>
        </w:rPr>
        <w:t>16、NIBP测量范围：10 mmHg-290mmHg。</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color w:val="auto"/>
          <w:sz w:val="24"/>
          <w:szCs w:val="24"/>
          <w:highlight w:val="none"/>
          <w:lang w:val="en-US" w:eastAsia="zh-CN"/>
        </w:rPr>
      </w:pPr>
      <w:r>
        <w:rPr>
          <w:rFonts w:hint="eastAsia"/>
          <w:color w:val="auto"/>
          <w:sz w:val="24"/>
          <w:szCs w:val="24"/>
          <w:highlight w:val="none"/>
          <w:lang w:val="en-US" w:eastAsia="zh-CN"/>
        </w:rPr>
        <w:t>17、具有24小时血压动态分析功能。</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sz w:val="24"/>
          <w:szCs w:val="24"/>
        </w:rPr>
      </w:pPr>
      <w:r>
        <w:rPr>
          <w:rFonts w:hint="eastAsia" w:cs="宋体"/>
          <w:kern w:val="0"/>
          <w:sz w:val="24"/>
          <w:szCs w:val="24"/>
          <w:lang w:val="en-US" w:eastAsia="zh-CN"/>
        </w:rPr>
        <w:t>18、</w:t>
      </w:r>
      <w:r>
        <w:rPr>
          <w:rFonts w:hint="eastAsia" w:ascii="宋体" w:hAnsi="宋体" w:cs="宋体"/>
          <w:kern w:val="0"/>
          <w:sz w:val="24"/>
          <w:szCs w:val="24"/>
          <w:lang w:val="en-US" w:eastAsia="zh-CN"/>
        </w:rPr>
        <w:t>支持所有监测参数报警限一键自动设置功能，满足医护团队快速管理患者报警需求</w:t>
      </w:r>
      <w:r>
        <w:rPr>
          <w:rFonts w:hint="eastAsia" w:cs="宋体"/>
          <w:kern w:val="0"/>
          <w:sz w:val="24"/>
          <w:szCs w:val="24"/>
          <w:lang w:val="en-US"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sz w:val="24"/>
          <w:szCs w:val="24"/>
        </w:rPr>
      </w:pPr>
      <w:r>
        <w:rPr>
          <w:rFonts w:hint="eastAsia"/>
          <w:sz w:val="24"/>
          <w:szCs w:val="24"/>
          <w:lang w:val="en-US" w:eastAsia="zh-CN"/>
        </w:rPr>
        <w:t>19、</w:t>
      </w:r>
      <w:r>
        <w:rPr>
          <w:rFonts w:hint="eastAsia"/>
          <w:sz w:val="24"/>
          <w:szCs w:val="24"/>
        </w:rPr>
        <w:t>支持监测参数报警限一键自动设置功能</w:t>
      </w:r>
      <w:r>
        <w:rPr>
          <w:rFonts w:hint="eastAsia"/>
          <w:sz w:val="24"/>
          <w:szCs w:val="24"/>
          <w:lang w:eastAsia="zh-CN"/>
        </w:rPr>
        <w:t>。</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sz w:val="24"/>
          <w:szCs w:val="24"/>
          <w:highlight w:val="none"/>
        </w:rPr>
      </w:pPr>
      <w:r>
        <w:rPr>
          <w:rFonts w:hint="eastAsia"/>
          <w:sz w:val="24"/>
          <w:szCs w:val="24"/>
          <w:highlight w:val="none"/>
          <w:lang w:val="en-US" w:eastAsia="zh-CN"/>
        </w:rPr>
        <w:t>20、</w:t>
      </w:r>
      <w:r>
        <w:rPr>
          <w:rFonts w:hint="eastAsia"/>
          <w:color w:val="auto"/>
          <w:sz w:val="24"/>
          <w:szCs w:val="24"/>
          <w:highlight w:val="none"/>
          <w:lang w:val="en-US" w:eastAsia="zh-CN"/>
        </w:rPr>
        <w:t>★</w:t>
      </w:r>
      <w:r>
        <w:rPr>
          <w:rFonts w:hint="eastAsia"/>
          <w:sz w:val="24"/>
          <w:szCs w:val="24"/>
          <w:highlight w:val="none"/>
          <w:lang w:val="en-US" w:eastAsia="zh-CN"/>
        </w:rPr>
        <w:t>支持升级临床辅助工具：脓毒血症指南、EWS早期预警评分、GCS格拉斯哥昏迷指数、24小时心电概览、CCHD先心病筛查。</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jc w:val="left"/>
        <w:textAlignment w:val="auto"/>
        <w:rPr>
          <w:rFonts w:hint="eastAsia" w:ascii="宋体" w:hAnsi="宋体" w:cs="宋体"/>
          <w:kern w:val="0"/>
          <w:sz w:val="24"/>
          <w:szCs w:val="24"/>
          <w:lang w:val="en-US" w:eastAsia="zh-CN"/>
        </w:rPr>
      </w:pPr>
      <w:r>
        <w:rPr>
          <w:rFonts w:hint="eastAsia" w:cs="宋体"/>
          <w:kern w:val="0"/>
          <w:sz w:val="24"/>
          <w:szCs w:val="24"/>
          <w:lang w:val="en-US" w:eastAsia="zh-CN"/>
        </w:rPr>
        <w:t>21、</w:t>
      </w:r>
      <w:r>
        <w:rPr>
          <w:rFonts w:hint="eastAsia" w:ascii="宋体" w:hAnsi="宋体" w:cs="宋体"/>
          <w:kern w:val="0"/>
          <w:sz w:val="24"/>
          <w:szCs w:val="24"/>
          <w:lang w:val="en-US" w:eastAsia="zh-CN"/>
        </w:rPr>
        <w:t>支持≥120小时趋势图和趋势表回顾，支持选择不同趋势组回顾。</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color w:val="auto"/>
          <w:sz w:val="24"/>
          <w:szCs w:val="24"/>
          <w:highlight w:val="none"/>
          <w:lang w:val="en-US" w:eastAsia="zh-CN"/>
        </w:rPr>
      </w:pPr>
      <w:r>
        <w:rPr>
          <w:rFonts w:hint="eastAsia"/>
          <w:color w:val="auto"/>
          <w:sz w:val="24"/>
          <w:szCs w:val="24"/>
          <w:highlight w:val="none"/>
          <w:lang w:val="en-US" w:eastAsia="zh-CN"/>
        </w:rPr>
        <w:t>22、具备≥1000条事件回顾功能。每条报警事件至少能够存储32秒三道相关波形，以及报警触发时所有测量参数值。</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color w:val="auto"/>
          <w:sz w:val="24"/>
          <w:szCs w:val="24"/>
          <w:highlight w:val="none"/>
          <w:lang w:val="en-US" w:eastAsia="zh-CN"/>
        </w:rPr>
      </w:pPr>
      <w:r>
        <w:rPr>
          <w:rFonts w:hint="eastAsia"/>
          <w:color w:val="auto"/>
          <w:sz w:val="24"/>
          <w:szCs w:val="24"/>
          <w:highlight w:val="none"/>
          <w:lang w:val="en-US" w:eastAsia="zh-CN"/>
        </w:rPr>
        <w:t>23、≥2000组NIBP测量结果列表。</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color w:val="auto"/>
          <w:sz w:val="24"/>
          <w:szCs w:val="24"/>
          <w:highlight w:val="none"/>
          <w:lang w:val="en-US" w:eastAsia="zh-CN"/>
        </w:rPr>
      </w:pPr>
      <w:r>
        <w:rPr>
          <w:rFonts w:hint="eastAsia"/>
          <w:color w:val="auto"/>
          <w:sz w:val="24"/>
          <w:szCs w:val="24"/>
          <w:highlight w:val="none"/>
          <w:lang w:val="en-US" w:eastAsia="zh-CN"/>
        </w:rPr>
        <w:t>24、≥120小时（分辨率1分钟）ST模板存储与回顾。</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color w:val="auto"/>
          <w:sz w:val="24"/>
          <w:szCs w:val="24"/>
          <w:highlight w:val="none"/>
          <w:lang w:val="en-US" w:eastAsia="zh-CN"/>
        </w:rPr>
      </w:pPr>
      <w:r>
        <w:rPr>
          <w:rFonts w:hint="eastAsia"/>
          <w:color w:val="auto"/>
          <w:sz w:val="24"/>
          <w:szCs w:val="24"/>
          <w:highlight w:val="none"/>
          <w:lang w:val="en-US" w:eastAsia="zh-CN"/>
        </w:rPr>
        <w:t>25、支持48小时全息波形的存储与回顾功能。</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color w:val="auto"/>
          <w:sz w:val="24"/>
          <w:szCs w:val="24"/>
          <w:highlight w:val="none"/>
          <w:lang w:val="en-US" w:eastAsia="zh-CN"/>
        </w:rPr>
      </w:pPr>
      <w:r>
        <w:rPr>
          <w:rFonts w:hint="eastAsia"/>
          <w:color w:val="auto"/>
          <w:sz w:val="24"/>
          <w:szCs w:val="24"/>
          <w:highlight w:val="none"/>
          <w:lang w:val="en-US" w:eastAsia="zh-CN"/>
        </w:rPr>
        <w:t>26、支持监护仪历史病人数据的存储和回顾，并支持通过USB接口将历史病人数据导出到U盘。</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textAlignment w:val="auto"/>
        <w:rPr>
          <w:rFonts w:hint="eastAsia"/>
          <w:color w:val="auto"/>
          <w:sz w:val="24"/>
          <w:szCs w:val="24"/>
          <w:highlight w:val="none"/>
          <w:lang w:val="en-US" w:eastAsia="zh-CN"/>
        </w:rPr>
      </w:pPr>
      <w:r>
        <w:rPr>
          <w:rFonts w:hint="eastAsia"/>
          <w:color w:val="auto"/>
          <w:sz w:val="24"/>
          <w:szCs w:val="24"/>
          <w:highlight w:val="none"/>
          <w:lang w:val="en-US" w:eastAsia="zh-CN"/>
        </w:rPr>
        <w:t>27、提供计时器功能，界面区提供设置≥4个计时器，每个计时器支持独立设置和计时功能，计时方向包括正计时和倒计时两种选择。</w:t>
      </w:r>
    </w:p>
    <w:p>
      <w:pPr>
        <w:spacing w:line="360" w:lineRule="auto"/>
        <w:rPr>
          <w:rFonts w:hint="eastAsia" w:ascii="宋体" w:hAnsi="宋体"/>
          <w:b/>
          <w:color w:val="FF0000"/>
          <w:sz w:val="24"/>
        </w:rPr>
      </w:pPr>
      <w:r>
        <w:rPr>
          <w:rFonts w:hint="eastAsia" w:ascii="宋体" w:hAnsi="宋体"/>
          <w:b/>
          <w:color w:val="FF0000"/>
          <w:sz w:val="24"/>
          <w:lang w:eastAsia="zh-CN"/>
        </w:rPr>
        <w:t>说明</w:t>
      </w:r>
      <w:r>
        <w:rPr>
          <w:rFonts w:hint="eastAsia" w:ascii="宋体" w:hAnsi="宋体"/>
          <w:b/>
          <w:color w:val="FF0000"/>
          <w:sz w:val="24"/>
        </w:rPr>
        <w:t>：</w:t>
      </w:r>
      <w:r>
        <w:rPr>
          <w:rFonts w:ascii="宋体" w:hAnsi="宋体"/>
          <w:b/>
          <w:color w:val="FF0000"/>
          <w:sz w:val="24"/>
        </w:rPr>
        <w:t>“</w:t>
      </w:r>
      <w:r>
        <w:rPr>
          <w:rFonts w:hint="eastAsia" w:ascii="宋体" w:hAnsi="宋体"/>
          <w:b/>
          <w:color w:val="FF0000"/>
          <w:sz w:val="24"/>
        </w:rPr>
        <w:t>★</w:t>
      </w:r>
      <w:r>
        <w:rPr>
          <w:rFonts w:ascii="宋体" w:hAnsi="宋体"/>
          <w:b/>
          <w:color w:val="FF0000"/>
          <w:sz w:val="24"/>
        </w:rPr>
        <w:t>”</w:t>
      </w:r>
      <w:r>
        <w:rPr>
          <w:rFonts w:hint="eastAsia" w:ascii="宋体" w:hAnsi="宋体"/>
          <w:b/>
          <w:color w:val="FF0000"/>
          <w:sz w:val="24"/>
        </w:rPr>
        <w:t>号条款为实质性条款，</w:t>
      </w:r>
      <w:r>
        <w:rPr>
          <w:rFonts w:hint="eastAsia" w:ascii="宋体" w:hAnsi="宋体"/>
          <w:b/>
          <w:color w:val="FF0000"/>
          <w:sz w:val="24"/>
          <w:lang w:eastAsia="zh-CN"/>
        </w:rPr>
        <w:t>需提供佐证材料，（佐证材料包括说明书或注册证或官网截图或产品彩页并明确标注页码）</w:t>
      </w:r>
      <w:r>
        <w:rPr>
          <w:rFonts w:hint="eastAsia" w:ascii="宋体" w:hAnsi="宋体"/>
          <w:b/>
          <w:color w:val="FF0000"/>
          <w:sz w:val="24"/>
        </w:rPr>
        <w:t>若有任何一条负偏离或不满足</w:t>
      </w:r>
      <w:r>
        <w:rPr>
          <w:rFonts w:hint="eastAsia" w:ascii="宋体" w:hAnsi="宋体"/>
          <w:b/>
          <w:color w:val="FF0000"/>
          <w:sz w:val="24"/>
          <w:highlight w:val="yellow"/>
          <w:lang w:val="en-US" w:eastAsia="zh-CN"/>
        </w:rPr>
        <w:t>响应</w:t>
      </w:r>
      <w:r>
        <w:rPr>
          <w:rFonts w:hint="eastAsia" w:ascii="宋体" w:hAnsi="宋体"/>
          <w:b/>
          <w:color w:val="FF0000"/>
          <w:sz w:val="24"/>
          <w:highlight w:val="yellow"/>
          <w:lang w:eastAsia="zh-CN"/>
        </w:rPr>
        <w:t>文件则</w:t>
      </w:r>
      <w:r>
        <w:rPr>
          <w:rFonts w:hint="eastAsia" w:ascii="宋体" w:hAnsi="宋体"/>
          <w:b/>
          <w:color w:val="FF0000"/>
          <w:sz w:val="24"/>
        </w:rPr>
        <w:t>无效。</w:t>
      </w:r>
    </w:p>
    <w:p/>
    <w:p>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300" w:firstLineChars="100"/>
        <w:jc w:val="both"/>
        <w:textAlignment w:val="baseline"/>
        <w:outlineLvl w:val="9"/>
        <w:rPr>
          <w:rFonts w:hint="eastAsia" w:ascii="宋体" w:hAnsi="宋体" w:eastAsia="宋体" w:cs="宋体"/>
          <w:b w:val="0"/>
          <w:bCs/>
          <w:sz w:val="30"/>
          <w:szCs w:val="30"/>
          <w:lang w:val="en-US" w:eastAsia="zh-CN"/>
        </w:rPr>
      </w:pPr>
      <w:r>
        <w:rPr>
          <w:rFonts w:hint="eastAsia" w:ascii="宋体" w:hAnsi="宋体" w:eastAsia="宋体" w:cs="宋体"/>
          <w:b w:val="0"/>
          <w:bCs/>
          <w:sz w:val="30"/>
          <w:szCs w:val="30"/>
          <w:lang w:val="en-US" w:eastAsia="zh-CN"/>
        </w:rPr>
        <w:t>四、</w:t>
      </w:r>
      <w:r>
        <w:rPr>
          <w:rFonts w:hint="eastAsia" w:ascii="宋体" w:hAnsi="宋体" w:eastAsia="宋体" w:cs="宋体"/>
          <w:b/>
          <w:bCs w:val="0"/>
          <w:sz w:val="30"/>
          <w:szCs w:val="30"/>
          <w:lang w:val="en-US" w:eastAsia="zh-CN"/>
        </w:rPr>
        <w:t>递交响应文件事宜</w:t>
      </w:r>
    </w:p>
    <w:p>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b w:val="0"/>
          <w:bCs/>
          <w:sz w:val="30"/>
          <w:szCs w:val="30"/>
          <w:lang w:val="en-US" w:eastAsia="zh-CN"/>
        </w:rPr>
      </w:pPr>
      <w:r>
        <w:rPr>
          <w:rFonts w:hint="eastAsia" w:ascii="宋体" w:hAnsi="宋体" w:eastAsia="宋体" w:cs="宋体"/>
          <w:b w:val="0"/>
          <w:bCs/>
          <w:sz w:val="30"/>
          <w:szCs w:val="30"/>
          <w:lang w:val="en-US" w:eastAsia="zh-CN"/>
        </w:rPr>
        <w:t>1. 文件内容： 响应文件应至少包含但不限于以下内容：</w:t>
      </w:r>
    </w:p>
    <w:p>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b w:val="0"/>
          <w:bCs/>
          <w:sz w:val="30"/>
          <w:szCs w:val="30"/>
          <w:lang w:val="en-US" w:eastAsia="zh-CN"/>
        </w:rPr>
      </w:pPr>
      <w:r>
        <w:rPr>
          <w:rFonts w:hint="eastAsia" w:ascii="宋体" w:hAnsi="宋体" w:eastAsia="宋体" w:cs="宋体"/>
          <w:b w:val="0"/>
          <w:bCs/>
          <w:sz w:val="30"/>
          <w:szCs w:val="30"/>
          <w:lang w:val="en-US" w:eastAsia="zh-CN"/>
        </w:rPr>
        <w:t xml:space="preserve">   · 投标函、报价表（需注明设备品牌、型号、单价、总价及交货期）。</w:t>
      </w:r>
    </w:p>
    <w:p>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b w:val="0"/>
          <w:bCs/>
          <w:sz w:val="30"/>
          <w:szCs w:val="30"/>
          <w:lang w:val="en-US" w:eastAsia="zh-CN"/>
        </w:rPr>
      </w:pPr>
      <w:r>
        <w:rPr>
          <w:rFonts w:hint="eastAsia" w:ascii="宋体" w:hAnsi="宋体" w:eastAsia="宋体" w:cs="宋体"/>
          <w:b w:val="0"/>
          <w:bCs/>
          <w:sz w:val="30"/>
          <w:szCs w:val="30"/>
          <w:lang w:val="en-US" w:eastAsia="zh-CN"/>
        </w:rPr>
        <w:t xml:space="preserve">   · 详细的货物说明及技术参数偏离表。</w:t>
      </w:r>
    </w:p>
    <w:p>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b w:val="0"/>
          <w:bCs/>
          <w:sz w:val="30"/>
          <w:szCs w:val="30"/>
          <w:lang w:val="en-US" w:eastAsia="zh-CN"/>
        </w:rPr>
      </w:pPr>
      <w:r>
        <w:rPr>
          <w:rFonts w:hint="eastAsia" w:ascii="宋体" w:hAnsi="宋体" w:eastAsia="宋体" w:cs="宋体"/>
          <w:b w:val="0"/>
          <w:bCs/>
          <w:sz w:val="30"/>
          <w:szCs w:val="30"/>
          <w:lang w:val="en-US" w:eastAsia="zh-CN"/>
        </w:rPr>
        <w:t xml:space="preserve">   · 供应商资格证明文件（详见第二条要求）。</w:t>
      </w:r>
    </w:p>
    <w:p>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b w:val="0"/>
          <w:bCs/>
          <w:sz w:val="30"/>
          <w:szCs w:val="30"/>
          <w:lang w:val="en-US" w:eastAsia="zh-CN"/>
        </w:rPr>
      </w:pPr>
      <w:r>
        <w:rPr>
          <w:rFonts w:hint="eastAsia" w:ascii="宋体" w:hAnsi="宋体" w:eastAsia="宋体" w:cs="宋体"/>
          <w:b w:val="0"/>
          <w:bCs/>
          <w:sz w:val="30"/>
          <w:szCs w:val="30"/>
          <w:lang w:val="en-US" w:eastAsia="zh-CN"/>
        </w:rPr>
        <w:t xml:space="preserve">   · 医疗器械注册证/备案凭证复印件。</w:t>
      </w:r>
    </w:p>
    <w:p>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b w:val="0"/>
          <w:bCs/>
          <w:sz w:val="30"/>
          <w:szCs w:val="30"/>
          <w:lang w:val="en-US" w:eastAsia="zh-CN"/>
        </w:rPr>
      </w:pPr>
      <w:r>
        <w:rPr>
          <w:rFonts w:hint="eastAsia" w:ascii="宋体" w:hAnsi="宋体" w:eastAsia="宋体" w:cs="宋体"/>
          <w:b w:val="0"/>
          <w:bCs/>
          <w:sz w:val="30"/>
          <w:szCs w:val="30"/>
          <w:lang w:val="en-US" w:eastAsia="zh-CN"/>
        </w:rPr>
        <w:t xml:space="preserve">   · 制造商授权书或代理证明（如适用）。</w:t>
      </w:r>
    </w:p>
    <w:p>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b w:val="0"/>
          <w:bCs/>
          <w:sz w:val="30"/>
          <w:szCs w:val="30"/>
          <w:lang w:val="en-US" w:eastAsia="zh-CN"/>
        </w:rPr>
      </w:pPr>
      <w:r>
        <w:rPr>
          <w:rFonts w:hint="eastAsia" w:ascii="宋体" w:hAnsi="宋体" w:eastAsia="宋体" w:cs="宋体"/>
          <w:b w:val="0"/>
          <w:bCs/>
          <w:sz w:val="30"/>
          <w:szCs w:val="30"/>
          <w:lang w:val="en-US" w:eastAsia="zh-CN"/>
        </w:rPr>
        <w:t xml:space="preserve">   · 售后服务承诺书（需明确保修期限、响应时间、维修服务等内容）。</w:t>
      </w:r>
    </w:p>
    <w:p>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b w:val="0"/>
          <w:bCs/>
          <w:sz w:val="30"/>
          <w:szCs w:val="30"/>
          <w:lang w:val="en-US" w:eastAsia="zh-CN"/>
        </w:rPr>
      </w:pPr>
      <w:r>
        <w:rPr>
          <w:rFonts w:hint="eastAsia" w:ascii="宋体" w:hAnsi="宋体" w:eastAsia="宋体" w:cs="宋体"/>
          <w:b w:val="0"/>
          <w:bCs/>
          <w:sz w:val="30"/>
          <w:szCs w:val="30"/>
          <w:lang w:val="en-US" w:eastAsia="zh-CN"/>
        </w:rPr>
        <w:t>2. 递交形式： 纸质版文件，密封包装。</w:t>
      </w:r>
    </w:p>
    <w:p>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b w:val="0"/>
          <w:bCs/>
          <w:sz w:val="30"/>
          <w:szCs w:val="30"/>
          <w:lang w:val="en-US" w:eastAsia="zh-CN"/>
        </w:rPr>
      </w:pPr>
      <w:r>
        <w:rPr>
          <w:rFonts w:hint="eastAsia" w:ascii="宋体" w:hAnsi="宋体" w:eastAsia="宋体" w:cs="宋体"/>
          <w:b w:val="0"/>
          <w:bCs/>
          <w:sz w:val="30"/>
          <w:szCs w:val="30"/>
          <w:lang w:val="en-US" w:eastAsia="zh-CN"/>
        </w:rPr>
        <w:t>3. 递交地点： 齐齐哈尔医学院附属第二医院采购供应科</w:t>
      </w:r>
    </w:p>
    <w:p>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900" w:firstLineChars="300"/>
        <w:jc w:val="both"/>
        <w:textAlignment w:val="baseline"/>
        <w:outlineLvl w:val="9"/>
        <w:rPr>
          <w:rFonts w:hint="eastAsia" w:ascii="宋体" w:hAnsi="宋体" w:eastAsia="宋体" w:cs="宋体"/>
          <w:b w:val="0"/>
          <w:bCs/>
          <w:sz w:val="30"/>
          <w:szCs w:val="30"/>
          <w:lang w:val="en-US" w:eastAsia="zh-CN"/>
        </w:rPr>
      </w:pPr>
      <w:r>
        <w:rPr>
          <w:rFonts w:hint="eastAsia" w:ascii="宋体" w:hAnsi="宋体" w:eastAsia="宋体" w:cs="宋体"/>
          <w:b w:val="0"/>
          <w:bCs/>
          <w:sz w:val="30"/>
          <w:szCs w:val="30"/>
          <w:lang w:val="en-US" w:eastAsia="zh-CN"/>
        </w:rPr>
        <w:t>（地址：黑龙江省齐齐哈尔市建华区中华西路37号）。</w:t>
      </w:r>
    </w:p>
    <w:p>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b w:val="0"/>
          <w:bCs/>
          <w:sz w:val="30"/>
          <w:szCs w:val="30"/>
          <w:lang w:val="en-US" w:eastAsia="zh-CN"/>
        </w:rPr>
      </w:pPr>
      <w:r>
        <w:rPr>
          <w:rFonts w:hint="eastAsia" w:ascii="宋体" w:hAnsi="宋体" w:eastAsia="宋体" w:cs="宋体"/>
          <w:b w:val="0"/>
          <w:bCs/>
          <w:sz w:val="30"/>
          <w:szCs w:val="30"/>
          <w:lang w:val="en-US" w:eastAsia="zh-CN"/>
        </w:rPr>
        <w:t>4. 联系人： 薛老师</w:t>
      </w:r>
    </w:p>
    <w:p>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b w:val="0"/>
          <w:bCs/>
          <w:sz w:val="30"/>
          <w:szCs w:val="30"/>
          <w:lang w:val="en-US" w:eastAsia="zh-CN"/>
        </w:rPr>
      </w:pPr>
      <w:r>
        <w:rPr>
          <w:rFonts w:hint="eastAsia" w:ascii="宋体" w:hAnsi="宋体" w:eastAsia="宋体" w:cs="宋体"/>
          <w:b w:val="0"/>
          <w:bCs/>
          <w:sz w:val="30"/>
          <w:szCs w:val="30"/>
          <w:lang w:val="en-US" w:eastAsia="zh-CN"/>
        </w:rPr>
        <w:t xml:space="preserve">5. 联系电话： 0452-27397636. 报名截止时间：2026年06月09日— 2026年06月12日。逾期送达或未密封的响应文件将不予受理。 </w:t>
      </w:r>
    </w:p>
    <w:p>
      <w:pPr>
        <w:keepNext w:val="0"/>
        <w:keepLines w:val="0"/>
        <w:pageBreakBefore w:val="0"/>
        <w:widowControl/>
        <w:numPr>
          <w:ilvl w:val="0"/>
          <w:numId w:val="0"/>
        </w:numPr>
        <w:kinsoku w:val="0"/>
        <w:wordWrap/>
        <w:overflowPunct/>
        <w:topLinePunct w:val="0"/>
        <w:autoSpaceDE w:val="0"/>
        <w:autoSpaceDN w:val="0"/>
        <w:bidi w:val="0"/>
        <w:adjustRightInd w:val="0"/>
        <w:snapToGrid w:val="0"/>
        <w:ind w:firstLine="600" w:firstLineChars="200"/>
        <w:jc w:val="both"/>
        <w:textAlignment w:val="baseline"/>
        <w:outlineLvl w:val="9"/>
        <w:rPr>
          <w:rFonts w:hint="eastAsia" w:ascii="宋体" w:hAnsi="宋体" w:eastAsia="宋体" w:cs="宋体"/>
          <w:b/>
          <w:sz w:val="30"/>
          <w:szCs w:val="30"/>
        </w:rPr>
      </w:pPr>
      <w:r>
        <w:rPr>
          <w:rFonts w:hint="eastAsia" w:ascii="宋体" w:hAnsi="宋体" w:eastAsia="宋体" w:cs="宋体"/>
          <w:b w:val="0"/>
          <w:bCs/>
          <w:sz w:val="30"/>
          <w:szCs w:val="30"/>
          <w:lang w:val="en-US" w:eastAsia="zh-CN"/>
        </w:rPr>
        <w:t>（请注意：</w:t>
      </w:r>
      <w:r>
        <w:rPr>
          <w:rFonts w:hint="eastAsia" w:ascii="宋体" w:hAnsi="宋体" w:eastAsia="宋体" w:cs="宋体"/>
          <w:b w:val="0"/>
          <w:bCs/>
          <w:sz w:val="30"/>
          <w:szCs w:val="30"/>
          <w:highlight w:val="yellow"/>
          <w:lang w:val="en-US" w:eastAsia="zh-CN"/>
        </w:rPr>
        <w:t>项目公示期为</w:t>
      </w:r>
      <w:r>
        <w:rPr>
          <w:rFonts w:hint="eastAsia" w:ascii="宋体" w:hAnsi="宋体" w:eastAsia="宋体" w:cs="宋体"/>
          <w:b w:val="0"/>
          <w:bCs/>
          <w:sz w:val="30"/>
          <w:szCs w:val="30"/>
          <w:lang w:val="en-US" w:eastAsia="zh-CN"/>
        </w:rPr>
        <w:t>自本公告发布之日起，三个工作日。请供应商自行计算并把握截止时间。）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F0757AB"/>
    <w:multiLevelType w:val="singleLevel"/>
    <w:tmpl w:val="8F0757A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E0N2Q0ZjMwZTZiNmQzYmZlYjM2NzhlYjNkMDBlOGUifQ=="/>
  </w:docVars>
  <w:rsids>
    <w:rsidRoot w:val="00AE2308"/>
    <w:rsid w:val="00027FC2"/>
    <w:rsid w:val="00033959"/>
    <w:rsid w:val="00044BAF"/>
    <w:rsid w:val="00061EAE"/>
    <w:rsid w:val="000E5D77"/>
    <w:rsid w:val="00112F49"/>
    <w:rsid w:val="00141E6E"/>
    <w:rsid w:val="00166E03"/>
    <w:rsid w:val="00172995"/>
    <w:rsid w:val="00176AC9"/>
    <w:rsid w:val="001D3EF1"/>
    <w:rsid w:val="001F78C1"/>
    <w:rsid w:val="00217A05"/>
    <w:rsid w:val="0022358B"/>
    <w:rsid w:val="00252DB9"/>
    <w:rsid w:val="00275321"/>
    <w:rsid w:val="00277B56"/>
    <w:rsid w:val="00295202"/>
    <w:rsid w:val="002C4A89"/>
    <w:rsid w:val="002E5C6B"/>
    <w:rsid w:val="002F09D1"/>
    <w:rsid w:val="0030691B"/>
    <w:rsid w:val="00323C6B"/>
    <w:rsid w:val="00323D68"/>
    <w:rsid w:val="003267E1"/>
    <w:rsid w:val="003342DF"/>
    <w:rsid w:val="00354F31"/>
    <w:rsid w:val="003A7207"/>
    <w:rsid w:val="003A7432"/>
    <w:rsid w:val="004019ED"/>
    <w:rsid w:val="00412136"/>
    <w:rsid w:val="004146E1"/>
    <w:rsid w:val="00473593"/>
    <w:rsid w:val="00477D18"/>
    <w:rsid w:val="004C202D"/>
    <w:rsid w:val="004C3C66"/>
    <w:rsid w:val="004E268F"/>
    <w:rsid w:val="004E6D50"/>
    <w:rsid w:val="00510928"/>
    <w:rsid w:val="005E1837"/>
    <w:rsid w:val="005F57E7"/>
    <w:rsid w:val="00611A16"/>
    <w:rsid w:val="006979D1"/>
    <w:rsid w:val="006B7B63"/>
    <w:rsid w:val="006E7C43"/>
    <w:rsid w:val="00727141"/>
    <w:rsid w:val="007877B7"/>
    <w:rsid w:val="007C5A69"/>
    <w:rsid w:val="007F042E"/>
    <w:rsid w:val="007F6F9B"/>
    <w:rsid w:val="00833E32"/>
    <w:rsid w:val="00851D01"/>
    <w:rsid w:val="0085678C"/>
    <w:rsid w:val="00865D40"/>
    <w:rsid w:val="0087089D"/>
    <w:rsid w:val="00872A4C"/>
    <w:rsid w:val="00880FE8"/>
    <w:rsid w:val="008E7A4C"/>
    <w:rsid w:val="00906255"/>
    <w:rsid w:val="00915F6E"/>
    <w:rsid w:val="0094770A"/>
    <w:rsid w:val="00953BD3"/>
    <w:rsid w:val="009A3FB2"/>
    <w:rsid w:val="009B1CFC"/>
    <w:rsid w:val="009C22DC"/>
    <w:rsid w:val="009C4779"/>
    <w:rsid w:val="009D4260"/>
    <w:rsid w:val="009D6465"/>
    <w:rsid w:val="009D7C19"/>
    <w:rsid w:val="00A450A5"/>
    <w:rsid w:val="00A63764"/>
    <w:rsid w:val="00A71F40"/>
    <w:rsid w:val="00AD40E7"/>
    <w:rsid w:val="00AE2308"/>
    <w:rsid w:val="00AF6294"/>
    <w:rsid w:val="00B13712"/>
    <w:rsid w:val="00B16FD2"/>
    <w:rsid w:val="00B21488"/>
    <w:rsid w:val="00B328B5"/>
    <w:rsid w:val="00B475B6"/>
    <w:rsid w:val="00BA118C"/>
    <w:rsid w:val="00BA36A4"/>
    <w:rsid w:val="00BA3B1E"/>
    <w:rsid w:val="00BC34F8"/>
    <w:rsid w:val="00BF16F5"/>
    <w:rsid w:val="00BF3E8D"/>
    <w:rsid w:val="00C009F1"/>
    <w:rsid w:val="00C15572"/>
    <w:rsid w:val="00C63B2D"/>
    <w:rsid w:val="00C73AA3"/>
    <w:rsid w:val="00CA2DD4"/>
    <w:rsid w:val="00CB63D9"/>
    <w:rsid w:val="00CD3169"/>
    <w:rsid w:val="00CF4D0B"/>
    <w:rsid w:val="00D0267D"/>
    <w:rsid w:val="00D35AFF"/>
    <w:rsid w:val="00D472BC"/>
    <w:rsid w:val="00D73735"/>
    <w:rsid w:val="00D81FE6"/>
    <w:rsid w:val="00D92EAE"/>
    <w:rsid w:val="00DD66CB"/>
    <w:rsid w:val="00DE700D"/>
    <w:rsid w:val="00DF7143"/>
    <w:rsid w:val="00E025D2"/>
    <w:rsid w:val="00E11D42"/>
    <w:rsid w:val="00E22D1A"/>
    <w:rsid w:val="00E27006"/>
    <w:rsid w:val="00E36599"/>
    <w:rsid w:val="00E53C30"/>
    <w:rsid w:val="00E62C95"/>
    <w:rsid w:val="00E82F7E"/>
    <w:rsid w:val="00E943B0"/>
    <w:rsid w:val="00EA3B81"/>
    <w:rsid w:val="00EC2923"/>
    <w:rsid w:val="00ED5516"/>
    <w:rsid w:val="00EE2D38"/>
    <w:rsid w:val="00EE4BB9"/>
    <w:rsid w:val="00EF3003"/>
    <w:rsid w:val="00EF5EC9"/>
    <w:rsid w:val="00F13276"/>
    <w:rsid w:val="00F274C3"/>
    <w:rsid w:val="00F62046"/>
    <w:rsid w:val="00F62579"/>
    <w:rsid w:val="00FA2EF5"/>
    <w:rsid w:val="00FA515A"/>
    <w:rsid w:val="00FB00C5"/>
    <w:rsid w:val="00FC23B9"/>
    <w:rsid w:val="00FC2F03"/>
    <w:rsid w:val="00FC374C"/>
    <w:rsid w:val="00FE16F0"/>
    <w:rsid w:val="00FF11B3"/>
    <w:rsid w:val="00FF501F"/>
    <w:rsid w:val="00FF5F13"/>
    <w:rsid w:val="0447706E"/>
    <w:rsid w:val="053022E6"/>
    <w:rsid w:val="053D0315"/>
    <w:rsid w:val="071D341F"/>
    <w:rsid w:val="08C361AD"/>
    <w:rsid w:val="0AAA44EB"/>
    <w:rsid w:val="0F58067D"/>
    <w:rsid w:val="11CB5870"/>
    <w:rsid w:val="12AF6F40"/>
    <w:rsid w:val="12CA72F2"/>
    <w:rsid w:val="141E77D0"/>
    <w:rsid w:val="154A1BC4"/>
    <w:rsid w:val="16856EBF"/>
    <w:rsid w:val="168E3310"/>
    <w:rsid w:val="17AD2E69"/>
    <w:rsid w:val="19E2597C"/>
    <w:rsid w:val="1B3F747F"/>
    <w:rsid w:val="1B6B56F3"/>
    <w:rsid w:val="1DB200ED"/>
    <w:rsid w:val="1E471829"/>
    <w:rsid w:val="1F37773D"/>
    <w:rsid w:val="1F8C509B"/>
    <w:rsid w:val="1FBB64FE"/>
    <w:rsid w:val="23376F35"/>
    <w:rsid w:val="238D7963"/>
    <w:rsid w:val="252F3A2C"/>
    <w:rsid w:val="25E60A73"/>
    <w:rsid w:val="26347A30"/>
    <w:rsid w:val="29B2695E"/>
    <w:rsid w:val="2B4F33BF"/>
    <w:rsid w:val="2D1F3694"/>
    <w:rsid w:val="2DA6689C"/>
    <w:rsid w:val="307750E9"/>
    <w:rsid w:val="31577631"/>
    <w:rsid w:val="32A02EE2"/>
    <w:rsid w:val="34572B3B"/>
    <w:rsid w:val="39A369DF"/>
    <w:rsid w:val="3BDB43B4"/>
    <w:rsid w:val="3CB36300"/>
    <w:rsid w:val="3E5F0F6A"/>
    <w:rsid w:val="40D63A95"/>
    <w:rsid w:val="42D56468"/>
    <w:rsid w:val="44C320C7"/>
    <w:rsid w:val="45FE6B4F"/>
    <w:rsid w:val="48BD520B"/>
    <w:rsid w:val="49A6734F"/>
    <w:rsid w:val="49EF7646"/>
    <w:rsid w:val="4A5E507D"/>
    <w:rsid w:val="4C21598D"/>
    <w:rsid w:val="4CCB22A4"/>
    <w:rsid w:val="4EAC2029"/>
    <w:rsid w:val="4EF83CA4"/>
    <w:rsid w:val="51E93115"/>
    <w:rsid w:val="53BB6CED"/>
    <w:rsid w:val="549635BC"/>
    <w:rsid w:val="54C85664"/>
    <w:rsid w:val="56050246"/>
    <w:rsid w:val="57063239"/>
    <w:rsid w:val="58EE3776"/>
    <w:rsid w:val="59FE19B7"/>
    <w:rsid w:val="5A983AE7"/>
    <w:rsid w:val="5B1A2FA8"/>
    <w:rsid w:val="5BFE6BF0"/>
    <w:rsid w:val="5CB42396"/>
    <w:rsid w:val="5D003399"/>
    <w:rsid w:val="5F5768B8"/>
    <w:rsid w:val="60EA408F"/>
    <w:rsid w:val="615A4485"/>
    <w:rsid w:val="617050B9"/>
    <w:rsid w:val="628C0BDB"/>
    <w:rsid w:val="67177D85"/>
    <w:rsid w:val="67BB5FD2"/>
    <w:rsid w:val="6874548F"/>
    <w:rsid w:val="68AE414D"/>
    <w:rsid w:val="68EF0FB9"/>
    <w:rsid w:val="69E738A9"/>
    <w:rsid w:val="6C8663A9"/>
    <w:rsid w:val="6CAB51F7"/>
    <w:rsid w:val="6D1C60F5"/>
    <w:rsid w:val="6EA62AEE"/>
    <w:rsid w:val="7069422B"/>
    <w:rsid w:val="70B0050A"/>
    <w:rsid w:val="712F47EA"/>
    <w:rsid w:val="73E72559"/>
    <w:rsid w:val="7416458D"/>
    <w:rsid w:val="750758DC"/>
    <w:rsid w:val="766F6322"/>
    <w:rsid w:val="77B619E9"/>
    <w:rsid w:val="7933761A"/>
    <w:rsid w:val="79B50427"/>
    <w:rsid w:val="79C913B2"/>
    <w:rsid w:val="7AAD2588"/>
    <w:rsid w:val="7ADA50D0"/>
    <w:rsid w:val="7C5425CC"/>
    <w:rsid w:val="7C6C4774"/>
    <w:rsid w:val="7F942E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qFormat="1" w:unhideWhenUsed="0" w:uiPriority="99" w:semiHidden="0"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cs="Arial" w:eastAsiaTheme="minorEastAsia"/>
      <w:snapToGrid w:val="0"/>
      <w:color w:val="000000"/>
      <w:kern w:val="0"/>
      <w:sz w:val="21"/>
      <w:szCs w:val="21"/>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13">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3">
    <w:name w:val="Body Text First Indent"/>
    <w:basedOn w:val="4"/>
    <w:link w:val="21"/>
    <w:unhideWhenUsed/>
    <w:qFormat/>
    <w:uiPriority w:val="0"/>
    <w:pPr>
      <w:ind w:firstLine="420" w:firstLineChars="100"/>
    </w:pPr>
  </w:style>
  <w:style w:type="paragraph" w:styleId="4">
    <w:name w:val="Body Text"/>
    <w:basedOn w:val="1"/>
    <w:link w:val="20"/>
    <w:semiHidden/>
    <w:unhideWhenUsed/>
    <w:qFormat/>
    <w:uiPriority w:val="99"/>
    <w:pPr>
      <w:spacing w:after="120"/>
    </w:pPr>
  </w:style>
  <w:style w:type="paragraph" w:styleId="5">
    <w:name w:val="Body Text Indent"/>
    <w:basedOn w:val="1"/>
    <w:qFormat/>
    <w:uiPriority w:val="0"/>
    <w:pPr>
      <w:spacing w:after="120" w:afterLines="0"/>
      <w:ind w:left="420" w:leftChars="200"/>
    </w:pPr>
  </w:style>
  <w:style w:type="paragraph" w:styleId="6">
    <w:name w:val="Date"/>
    <w:basedOn w:val="1"/>
    <w:next w:val="1"/>
    <w:link w:val="19"/>
    <w:semiHidden/>
    <w:unhideWhenUsed/>
    <w:qFormat/>
    <w:uiPriority w:val="99"/>
    <w:pPr>
      <w:ind w:left="100" w:leftChars="2500"/>
    </w:pPr>
  </w:style>
  <w:style w:type="paragraph" w:styleId="7">
    <w:name w:val="footer"/>
    <w:basedOn w:val="1"/>
    <w:link w:val="18"/>
    <w:semiHidden/>
    <w:unhideWhenUsed/>
    <w:qFormat/>
    <w:uiPriority w:val="99"/>
    <w:pPr>
      <w:widowControl w:val="0"/>
      <w:tabs>
        <w:tab w:val="center" w:pos="4153"/>
        <w:tab w:val="right" w:pos="8306"/>
      </w:tabs>
      <w:kinsoku/>
      <w:autoSpaceDE/>
      <w:autoSpaceDN/>
      <w:adjustRightInd/>
      <w:textAlignment w:val="auto"/>
    </w:pPr>
    <w:rPr>
      <w:rFonts w:asciiTheme="minorHAnsi" w:hAnsiTheme="minorHAnsi" w:cstheme="minorBidi"/>
      <w:snapToGrid/>
      <w:color w:val="auto"/>
      <w:kern w:val="2"/>
      <w:sz w:val="18"/>
      <w:szCs w:val="18"/>
    </w:rPr>
  </w:style>
  <w:style w:type="paragraph" w:styleId="8">
    <w:name w:val="Body Text First Indent 2"/>
    <w:basedOn w:val="5"/>
    <w:qFormat/>
    <w:uiPriority w:val="0"/>
    <w:pPr>
      <w:ind w:firstLine="420" w:firstLineChars="200"/>
    </w:pPr>
  </w:style>
  <w:style w:type="paragraph" w:styleId="9">
    <w:name w:val="header"/>
    <w:basedOn w:val="1"/>
    <w:link w:val="17"/>
    <w:semiHidden/>
    <w:unhideWhenUsed/>
    <w:qFormat/>
    <w:uiPriority w:val="99"/>
    <w:pPr>
      <w:widowControl w:val="0"/>
      <w:pBdr>
        <w:bottom w:val="single" w:color="auto" w:sz="6" w:space="1"/>
      </w:pBdr>
      <w:tabs>
        <w:tab w:val="center" w:pos="4153"/>
        <w:tab w:val="right" w:pos="8306"/>
      </w:tabs>
      <w:kinsoku/>
      <w:autoSpaceDE/>
      <w:autoSpaceDN/>
      <w:adjustRightInd/>
      <w:jc w:val="center"/>
      <w:textAlignment w:val="auto"/>
    </w:pPr>
    <w:rPr>
      <w:rFonts w:asciiTheme="minorHAnsi" w:hAnsiTheme="minorHAnsi" w:cstheme="minorBidi"/>
      <w:snapToGrid/>
      <w:color w:val="auto"/>
      <w:kern w:val="2"/>
      <w:sz w:val="18"/>
      <w:szCs w:val="18"/>
    </w:rPr>
  </w:style>
  <w:style w:type="paragraph" w:styleId="10">
    <w:name w:val="toc 9"/>
    <w:basedOn w:val="1"/>
    <w:next w:val="1"/>
    <w:qFormat/>
    <w:uiPriority w:val="99"/>
    <w:pPr>
      <w:ind w:left="3360" w:leftChars="1600"/>
    </w:pPr>
  </w:style>
  <w:style w:type="paragraph" w:styleId="11">
    <w:name w:val="Body Text 2"/>
    <w:basedOn w:val="1"/>
    <w:qFormat/>
    <w:uiPriority w:val="0"/>
    <w:pPr>
      <w:spacing w:after="120" w:line="480" w:lineRule="auto"/>
    </w:pPr>
    <w:rPr>
      <w:rFonts w:eastAsia="宋体"/>
      <w:kern w:val="0"/>
      <w:sz w:val="20"/>
    </w:rPr>
  </w:style>
  <w:style w:type="paragraph" w:styleId="12">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14">
    <w:name w:val="Hyperlink"/>
    <w:basedOn w:val="13"/>
    <w:qFormat/>
    <w:uiPriority w:val="0"/>
    <w:rPr>
      <w:color w:val="0000FF"/>
      <w:u w:val="single"/>
    </w:rPr>
  </w:style>
  <w:style w:type="table" w:styleId="16">
    <w:name w:val="Table Grid"/>
    <w:basedOn w:val="1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17">
    <w:name w:val="页眉 Char"/>
    <w:basedOn w:val="13"/>
    <w:link w:val="9"/>
    <w:semiHidden/>
    <w:qFormat/>
    <w:uiPriority w:val="99"/>
    <w:rPr>
      <w:sz w:val="18"/>
      <w:szCs w:val="18"/>
    </w:rPr>
  </w:style>
  <w:style w:type="character" w:customStyle="1" w:styleId="18">
    <w:name w:val="页脚 Char"/>
    <w:basedOn w:val="13"/>
    <w:link w:val="7"/>
    <w:semiHidden/>
    <w:qFormat/>
    <w:uiPriority w:val="99"/>
    <w:rPr>
      <w:sz w:val="18"/>
      <w:szCs w:val="18"/>
    </w:rPr>
  </w:style>
  <w:style w:type="character" w:customStyle="1" w:styleId="19">
    <w:name w:val="日期 Char"/>
    <w:basedOn w:val="13"/>
    <w:link w:val="6"/>
    <w:semiHidden/>
    <w:qFormat/>
    <w:uiPriority w:val="99"/>
    <w:rPr>
      <w:rFonts w:ascii="Arial" w:hAnsi="Arial" w:cs="Arial"/>
      <w:snapToGrid w:val="0"/>
      <w:color w:val="000000"/>
      <w:kern w:val="0"/>
      <w:szCs w:val="21"/>
    </w:rPr>
  </w:style>
  <w:style w:type="character" w:customStyle="1" w:styleId="20">
    <w:name w:val="正文文本 Char"/>
    <w:basedOn w:val="13"/>
    <w:link w:val="4"/>
    <w:semiHidden/>
    <w:qFormat/>
    <w:uiPriority w:val="99"/>
    <w:rPr>
      <w:rFonts w:ascii="Arial" w:hAnsi="Arial" w:cs="Arial"/>
      <w:snapToGrid w:val="0"/>
      <w:color w:val="000000"/>
      <w:kern w:val="0"/>
      <w:szCs w:val="21"/>
    </w:rPr>
  </w:style>
  <w:style w:type="character" w:customStyle="1" w:styleId="21">
    <w:name w:val="正文首行缩进 Char"/>
    <w:basedOn w:val="20"/>
    <w:link w:val="3"/>
    <w:qFormat/>
    <w:uiPriority w:val="0"/>
  </w:style>
  <w:style w:type="paragraph" w:styleId="22">
    <w:name w:val="List Paragraph"/>
    <w:basedOn w:val="1"/>
    <w:qFormat/>
    <w:uiPriority w:val="34"/>
    <w:pPr>
      <w:ind w:firstLine="420" w:firstLineChars="200"/>
    </w:pPr>
  </w:style>
  <w:style w:type="paragraph" w:customStyle="1" w:styleId="23">
    <w:name w:val="_Style 15"/>
    <w:basedOn w:val="1"/>
    <w:next w:val="22"/>
    <w:qFormat/>
    <w:uiPriority w:val="34"/>
    <w:pPr>
      <w:widowControl w:val="0"/>
      <w:kinsoku/>
      <w:autoSpaceDE/>
      <w:autoSpaceDN/>
      <w:adjustRightInd/>
      <w:snapToGrid/>
      <w:ind w:firstLine="420" w:firstLineChars="200"/>
      <w:jc w:val="both"/>
      <w:textAlignment w:val="auto"/>
    </w:pPr>
    <w:rPr>
      <w:rFonts w:ascii="等线" w:hAnsi="等线" w:eastAsia="等线" w:cs="Times New Roman"/>
      <w:snapToGrid/>
      <w:color w:val="auto"/>
      <w:kern w:val="2"/>
      <w:szCs w:val="22"/>
    </w:rPr>
  </w:style>
  <w:style w:type="paragraph" w:customStyle="1" w:styleId="24">
    <w:name w:val="段"/>
    <w:qFormat/>
    <w:uiPriority w:val="0"/>
    <w:pPr>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25">
    <w:name w:val="列出段落1"/>
    <w:basedOn w:val="1"/>
    <w:qFormat/>
    <w:uiPriority w:val="34"/>
    <w:pPr>
      <w:ind w:firstLine="420" w:firstLineChars="200"/>
    </w:pPr>
  </w:style>
  <w:style w:type="paragraph" w:customStyle="1" w:styleId="26">
    <w:name w:val="无间隔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
    <w:name w:val="_Style 1"/>
    <w:basedOn w:val="1"/>
    <w:qFormat/>
    <w:uiPriority w:val="34"/>
    <w:pPr>
      <w:ind w:firstLine="420" w:firstLineChars="200"/>
    </w:pPr>
    <w:rPr>
      <w:rFonts w:ascii="Calibri" w:hAnsi="Calibri" w:eastAsia="宋体" w:cs="Times New Roman"/>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A44E79A-6543-4DF6-8D2B-BFC0CD5CD0D8}">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Pages>
  <Words>1817</Words>
  <Characters>2044</Characters>
  <Lines>3</Lines>
  <Paragraphs>1</Paragraphs>
  <TotalTime>2</TotalTime>
  <ScaleCrop>false</ScaleCrop>
  <LinksUpToDate>false</LinksUpToDate>
  <CharactersWithSpaces>2103</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2022-07-19T05:16:00Z</dcterms:created>
  <dc:creator>齐齐哈尔医学院附属第二医院</dc:creator>
  <cp:lastModifiedBy>venus</cp:lastModifiedBy>
  <dcterms:modified xsi:type="dcterms:W3CDTF">2026-06-08T02:42:58Z</dcterms:modified>
  <cp:revision>105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CDF76F8B32AD401BBDFB6BA2704C71D1_13</vt:lpwstr>
  </property>
  <property fmtid="{D5CDD505-2E9C-101B-9397-08002B2CF9AE}" pid="4" name="KSOTemplateDocerSaveRecord">
    <vt:lpwstr>eyJoZGlkIjoiZmE0N2Q0ZjMwZTZiNmQzYmZlYjM2NzhlYjNkMDBlOGUiLCJ1c2VySWQiOiI3MzU3ODU0MDEifQ==</vt:lpwstr>
  </property>
</Properties>
</file>